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新宋体" w:eastAsia="仿宋_GB2312"/>
          <w:sz w:val="32"/>
          <w:szCs w:val="32"/>
        </w:rPr>
      </w:pPr>
      <w:r>
        <w:rPr>
          <w:rFonts w:hint="eastAsia" w:ascii="仿宋_GB2312" w:hAnsi="新宋体" w:eastAsia="仿宋_GB2312"/>
          <w:sz w:val="32"/>
          <w:szCs w:val="32"/>
        </w:rPr>
        <w:pict>
          <v:shape id="文本框 7" o:spid="_x0000_s2050" o:spt="202" type="#_x0000_t202" style="position:absolute;left:0pt;margin-left:357pt;margin-top:7.15pt;height:63.05pt;width:81pt;z-index:251660288;mso-width-relative:page;mso-height-relative:page;" filled="f" stroked="f" coordsize="21600,21600" o:gfxdata="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2qHS9YAAAAK&#10;AQAADwAAAAAAAAABACAAAAAiAAAAZHJzL2Rvd25yZXYueG1sUEsBAhQAFAAAAAgAh07iQP4qxSys&#10;AQAATgMAAA4AAAAAAAAAAQAgAAAAJQEAAGRycy9lMm9Eb2MueG1sUEsFBgAAAAAGAAYAWQEAAEMF&#10;AAAAAA==&#10;">
            <v:path/>
            <v:fill on="f" focussize="0,0"/>
            <v:stroke on="f"/>
            <v:imagedata o:title=""/>
            <o:lock v:ext="edit" aspectratio="f"/>
            <v:textbox>
              <w:txbxContent>
                <w:p>
                  <w:pPr>
                    <w:rPr>
                      <w:rFonts w:hint="eastAsia"/>
                      <w:szCs w:val="72"/>
                    </w:rPr>
                  </w:pPr>
                </w:p>
              </w:txbxContent>
            </v:textbox>
          </v:shape>
        </w:pict>
      </w:r>
    </w:p>
    <w:p>
      <w:pPr>
        <w:jc w:val="center"/>
        <w:rPr>
          <w:rFonts w:hint="eastAsia" w:ascii="仿宋_GB2312" w:hAnsi="新宋体" w:eastAsia="仿宋_GB2312"/>
          <w:sz w:val="32"/>
          <w:szCs w:val="32"/>
        </w:rPr>
      </w:pPr>
    </w:p>
    <w:p>
      <w:pPr>
        <w:jc w:val="center"/>
        <w:rPr>
          <w:rFonts w:hint="eastAsia" w:ascii="仿宋_GB2312" w:hAnsi="新宋体" w:eastAsia="仿宋_GB2312"/>
          <w:sz w:val="32"/>
          <w:szCs w:val="32"/>
        </w:rPr>
      </w:pPr>
    </w:p>
    <w:p>
      <w:pPr>
        <w:jc w:val="center"/>
        <w:rPr>
          <w:rFonts w:hint="eastAsia" w:ascii="仿宋_GB2312" w:hAnsi="新宋体" w:eastAsia="仿宋_GB2312"/>
          <w:sz w:val="32"/>
          <w:szCs w:val="32"/>
        </w:rPr>
      </w:pPr>
    </w:p>
    <w:p>
      <w:pPr>
        <w:jc w:val="center"/>
        <w:rPr>
          <w:rFonts w:hint="eastAsia" w:ascii="仿宋_GB2312" w:hAnsi="新宋体" w:eastAsia="仿宋_GB2312"/>
          <w:sz w:val="32"/>
          <w:szCs w:val="32"/>
        </w:rPr>
      </w:pPr>
    </w:p>
    <w:p>
      <w:pPr>
        <w:spacing w:line="600" w:lineRule="auto"/>
        <w:jc w:val="center"/>
        <w:rPr>
          <w:rFonts w:hint="eastAsia" w:ascii="仿宋_GB2312" w:hAnsi="新宋体" w:eastAsia="仿宋_GB2312"/>
          <w:sz w:val="32"/>
          <w:szCs w:val="32"/>
        </w:rPr>
      </w:pPr>
      <w:r>
        <w:rPr>
          <w:rFonts w:hint="eastAsia" w:ascii="仿宋_GB2312" w:hAnsi="新宋体" w:eastAsia="仿宋_GB2312"/>
          <w:sz w:val="32"/>
          <w:szCs w:val="32"/>
        </w:rPr>
        <w:t>枣高行审〔20</w:t>
      </w:r>
      <w:r>
        <w:rPr>
          <w:rFonts w:hint="eastAsia" w:ascii="仿宋_GB2312" w:hAnsi="新宋体" w:eastAsia="仿宋_GB2312"/>
          <w:sz w:val="32"/>
          <w:szCs w:val="32"/>
          <w:lang w:val="en-US" w:eastAsia="zh-CN"/>
        </w:rPr>
        <w:t>2</w:t>
      </w:r>
      <w:r>
        <w:rPr>
          <w:rFonts w:hint="eastAsia" w:hAnsi="新宋体"/>
          <w:sz w:val="32"/>
          <w:szCs w:val="32"/>
          <w:lang w:val="en-US" w:eastAsia="zh-CN"/>
        </w:rPr>
        <w:t>4</w:t>
      </w:r>
      <w:r>
        <w:rPr>
          <w:rFonts w:hint="eastAsia" w:ascii="仿宋_GB2312" w:hAnsi="新宋体" w:eastAsia="仿宋_GB2312"/>
          <w:sz w:val="32"/>
          <w:szCs w:val="32"/>
        </w:rPr>
        <w:t>〕</w:t>
      </w:r>
      <w:r>
        <w:rPr>
          <w:rFonts w:hint="eastAsia" w:hAnsi="新宋体"/>
          <w:sz w:val="32"/>
          <w:szCs w:val="32"/>
          <w:lang w:val="en-US" w:eastAsia="zh-CN"/>
        </w:rPr>
        <w:t>11</w:t>
      </w:r>
      <w:r>
        <w:rPr>
          <w:rFonts w:hint="eastAsia" w:ascii="仿宋_GB2312" w:hAnsi="新宋体" w:eastAsia="仿宋_GB2312"/>
          <w:sz w:val="32"/>
          <w:szCs w:val="32"/>
        </w:rPr>
        <w:t xml:space="preserve">号 </w:t>
      </w:r>
    </w:p>
    <w:p>
      <w:pPr>
        <w:jc w:val="center"/>
        <w:rPr>
          <w:rFonts w:hint="eastAsia" w:ascii="仿宋_GB2312" w:hAnsi="新宋体" w:eastAsia="仿宋_GB2312"/>
          <w:sz w:val="32"/>
          <w:szCs w:val="32"/>
        </w:rPr>
      </w:pPr>
      <w:r>
        <w:rPr>
          <w:rFonts w:hint="eastAsia" w:ascii="仿宋_GB2312" w:hAnsi="新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关于印发《行政审批局2024民生领域案件查办“铁拳”行动实施方案》的通知</w:t>
      </w:r>
    </w:p>
    <w:p>
      <w:pPr>
        <w:jc w:val="center"/>
        <w:rPr>
          <w:rFonts w:hint="eastAsia" w:ascii="仿宋_GB2312" w:hAnsi="新宋体" w:eastAsia="仿宋_GB2312"/>
          <w:sz w:val="32"/>
          <w:szCs w:val="32"/>
          <w:lang w:val="en-US" w:eastAsia="zh-CN"/>
        </w:rPr>
      </w:pP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各科室、所：</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为贯彻落实枣庄市市场监管系统执法稽查</w:t>
      </w:r>
      <w:r>
        <w:rPr>
          <w:rFonts w:hint="eastAsia" w:hAnsi="仿宋_GB2312" w:cs="仿宋_GB2312"/>
          <w:snapToGrid w:val="0"/>
          <w:color w:val="000000"/>
          <w:spacing w:val="-6"/>
        </w:rPr>
        <w:t>工作会议精神</w:t>
      </w:r>
      <w:r>
        <w:rPr>
          <w:rFonts w:hint="eastAsia" w:ascii="仿宋_GB2312" w:hAnsi="仿宋_GB2312" w:eastAsia="仿宋_GB2312" w:cs="仿宋_GB2312"/>
          <w:sz w:val="32"/>
          <w:szCs w:val="32"/>
          <w:lang w:val="en-US" w:eastAsia="zh-CN"/>
        </w:rPr>
        <w:t>，现将《行政审批局2024民生领域案件查办“铁拳”行动</w:t>
      </w:r>
      <w:r>
        <w:rPr>
          <w:rFonts w:hint="eastAsia" w:hAnsi="仿宋_GB2312" w:cs="仿宋_GB2312"/>
          <w:sz w:val="32"/>
          <w:szCs w:val="32"/>
          <w:lang w:val="en-US" w:eastAsia="zh-CN"/>
        </w:rPr>
        <w:t>实施</w:t>
      </w:r>
      <w:r>
        <w:rPr>
          <w:rFonts w:hint="eastAsia" w:ascii="仿宋_GB2312" w:hAnsi="仿宋_GB2312" w:eastAsia="仿宋_GB2312" w:cs="仿宋_GB2312"/>
          <w:sz w:val="32"/>
          <w:szCs w:val="32"/>
          <w:lang w:val="en-US" w:eastAsia="zh-CN"/>
        </w:rPr>
        <w:t>方案》印发给你们，请结合实际，认真贯彻落实。</w:t>
      </w:r>
    </w:p>
    <w:p>
      <w:pPr>
        <w:ind w:firstLine="640" w:firstLineChars="200"/>
        <w:jc w:val="left"/>
        <w:rPr>
          <w:rFonts w:hint="eastAsia" w:ascii="仿宋_GB2312" w:hAnsi="仿宋_GB2312" w:eastAsia="仿宋_GB2312" w:cs="仿宋_GB2312"/>
          <w:sz w:val="32"/>
          <w:szCs w:val="32"/>
          <w:lang w:val="en-US" w:eastAsia="zh-CN"/>
        </w:rPr>
      </w:pPr>
    </w:p>
    <w:p>
      <w:pPr>
        <w:pStyle w:val="2"/>
        <w:rPr>
          <w:rFonts w:hint="eastAsia"/>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枣庄高新区行政审批局 </w:t>
      </w:r>
    </w:p>
    <w:p>
      <w:pPr>
        <w:wordWrap w:val="0"/>
        <w:ind w:firstLine="640" w:firstLineChars="200"/>
        <w:jc w:val="right"/>
        <w:rPr>
          <w:rFonts w:hint="default" w:hAnsi="新宋体"/>
          <w:sz w:val="32"/>
          <w:szCs w:val="32"/>
          <w:lang w:val="en-US" w:eastAsia="zh-CN"/>
        </w:rPr>
      </w:pPr>
      <w:r>
        <w:rPr>
          <w:rFonts w:hint="eastAsia" w:ascii="仿宋_GB2312" w:hAnsi="仿宋_GB2312" w:eastAsia="仿宋_GB2312" w:cs="仿宋_GB2312"/>
          <w:sz w:val="32"/>
          <w:szCs w:val="32"/>
          <w:lang w:val="en-US" w:eastAsia="zh-CN"/>
        </w:rPr>
        <w:t>2024年3月8</w:t>
      </w:r>
      <w:r>
        <w:rPr>
          <w:rFonts w:hint="eastAsia" w:hAnsi="仿宋_GB2312" w:cs="仿宋_GB2312"/>
          <w:sz w:val="32"/>
          <w:szCs w:val="32"/>
          <w:lang w:val="en-US" w:eastAsia="zh-CN"/>
        </w:rPr>
        <w:t>日</w:t>
      </w:r>
      <w:r>
        <w:rPr>
          <w:rFonts w:hint="eastAsia" w:hAnsi="新宋体"/>
          <w:sz w:val="32"/>
          <w:szCs w:val="32"/>
          <w:lang w:val="en-US" w:eastAsia="zh-CN"/>
        </w:rPr>
        <w:t xml:space="preserve">  </w:t>
      </w:r>
    </w:p>
    <w:p>
      <w:pPr>
        <w:pStyle w:val="2"/>
        <w:rPr>
          <w:rFonts w:hint="eastAsia"/>
          <w:lang w:val="en-US" w:eastAsia="zh-CN"/>
        </w:rPr>
      </w:pPr>
    </w:p>
    <w:p>
      <w:pPr>
        <w:rPr>
          <w:rFonts w:hint="eastAsia" w:ascii="仿宋_GB2312" w:hAnsi="新宋体" w:eastAsia="仿宋_GB2312"/>
          <w:sz w:val="32"/>
          <w:szCs w:val="32"/>
          <w:lang w:val="en-US" w:eastAsia="zh-CN"/>
        </w:rPr>
      </w:pPr>
    </w:p>
    <w:p>
      <w:pPr>
        <w:pStyle w:val="2"/>
        <w:rPr>
          <w:rFonts w:hint="eastAsia" w:ascii="仿宋_GB2312" w:hAnsi="新宋体" w:eastAsia="仿宋_GB2312"/>
          <w:sz w:val="32"/>
          <w:szCs w:val="32"/>
          <w:lang w:val="en-US" w:eastAsia="zh-CN"/>
        </w:rPr>
      </w:pPr>
    </w:p>
    <w:p>
      <w:pPr>
        <w:rPr>
          <w:rFonts w:hint="eastAsia"/>
        </w:rPr>
      </w:pPr>
    </w:p>
    <w:p>
      <w:pPr>
        <w:overflowPunct w:val="0"/>
        <w:topLinePunct/>
        <w:adjustRightInd w:val="0"/>
        <w:snapToGrid w:val="0"/>
        <w:spacing w:line="630" w:lineRule="exact"/>
        <w:jc w:val="center"/>
        <w:rPr>
          <w:rFonts w:ascii="楷体" w:hAnsi="楷体" w:eastAsia="楷体" w:cs="楷体"/>
          <w:snapToGrid w:val="0"/>
          <w:color w:val="000000"/>
          <w:spacing w:val="-6"/>
        </w:rPr>
      </w:pPr>
      <w:r>
        <w:rPr>
          <w:rFonts w:hint="eastAsia" w:ascii="方正小标宋简体" w:hAnsi="方正小标宋简体" w:eastAsia="方正小标宋简体" w:cs="方正小标宋简体"/>
          <w:color w:val="000000"/>
          <w:sz w:val="44"/>
          <w:szCs w:val="44"/>
        </w:rPr>
        <w:t>2024民生领域案件查办“铁拳”行动方案</w:t>
      </w:r>
    </w:p>
    <w:p>
      <w:pPr>
        <w:overflowPunct w:val="0"/>
        <w:adjustRightInd w:val="0"/>
        <w:snapToGrid w:val="0"/>
        <w:spacing w:line="630" w:lineRule="exact"/>
        <w:ind w:firstLine="640"/>
        <w:rPr>
          <w:rFonts w:hAnsi="仿宋_GB2312" w:cs="仿宋_GB2312"/>
          <w:snapToGrid w:val="0"/>
          <w:color w:val="000000"/>
          <w:spacing w:val="-6"/>
          <w:sz w:val="36"/>
          <w:szCs w:val="36"/>
        </w:rPr>
      </w:pPr>
    </w:p>
    <w:p>
      <w:pPr>
        <w:overflowPunct w:val="0"/>
        <w:adjustRightInd w:val="0"/>
        <w:snapToGrid w:val="0"/>
        <w:spacing w:line="570" w:lineRule="exact"/>
        <w:ind w:firstLine="641"/>
        <w:rPr>
          <w:rFonts w:hAnsi="仿宋_GB2312" w:cs="仿宋_GB2312"/>
          <w:snapToGrid w:val="0"/>
          <w:color w:val="000000"/>
          <w:spacing w:val="-6"/>
        </w:rPr>
      </w:pPr>
      <w:r>
        <w:rPr>
          <w:rFonts w:hint="eastAsia" w:ascii="仿宋_GB2312" w:hAnsi="仿宋_GB2312" w:eastAsia="仿宋_GB2312" w:cs="仿宋_GB2312"/>
          <w:sz w:val="32"/>
          <w:szCs w:val="32"/>
          <w:lang w:val="en-US" w:eastAsia="zh-CN"/>
        </w:rPr>
        <w:t>为贯彻落实枣庄市市场监管系统执法稽查</w:t>
      </w:r>
      <w:r>
        <w:rPr>
          <w:rFonts w:hint="eastAsia" w:hAnsi="仿宋_GB2312" w:cs="仿宋_GB2312"/>
          <w:snapToGrid w:val="0"/>
          <w:color w:val="000000"/>
          <w:spacing w:val="-6"/>
        </w:rPr>
        <w:t>工作会议精神，持续深入开展民生领域案件查办“铁拳”行动，进一步加强重点领域市场监管执法，积极打造执法为民市场监管“铁拳”品牌，结合我</w:t>
      </w:r>
      <w:r>
        <w:rPr>
          <w:rFonts w:hint="eastAsia" w:hAnsi="仿宋_GB2312" w:cs="仿宋_GB2312"/>
          <w:snapToGrid w:val="0"/>
          <w:color w:val="000000"/>
          <w:spacing w:val="-6"/>
          <w:lang w:val="en-US" w:eastAsia="zh-CN"/>
        </w:rPr>
        <w:t>区</w:t>
      </w:r>
      <w:r>
        <w:rPr>
          <w:rFonts w:hint="eastAsia" w:hAnsi="仿宋_GB2312" w:cs="仿宋_GB2312"/>
          <w:snapToGrid w:val="0"/>
          <w:color w:val="000000"/>
          <w:spacing w:val="-6"/>
        </w:rPr>
        <w:t>实际，经</w:t>
      </w:r>
      <w:r>
        <w:rPr>
          <w:rFonts w:hint="eastAsia" w:hAnsi="仿宋_GB2312" w:cs="仿宋_GB2312"/>
          <w:snapToGrid w:val="0"/>
          <w:color w:val="000000"/>
          <w:spacing w:val="-6"/>
          <w:lang w:eastAsia="zh-CN"/>
        </w:rPr>
        <w:t>我</w:t>
      </w:r>
      <w:r>
        <w:rPr>
          <w:rFonts w:hint="eastAsia" w:hAnsi="仿宋_GB2312" w:cs="仿宋_GB2312"/>
          <w:snapToGrid w:val="0"/>
          <w:color w:val="000000"/>
          <w:spacing w:val="-6"/>
          <w:lang w:val="en-US" w:eastAsia="zh-CN"/>
        </w:rPr>
        <w:t>局</w:t>
      </w:r>
      <w:r>
        <w:rPr>
          <w:rFonts w:hint="eastAsia" w:hAnsi="仿宋_GB2312" w:cs="仿宋_GB2312"/>
          <w:snapToGrid w:val="0"/>
          <w:color w:val="000000"/>
          <w:spacing w:val="-6"/>
        </w:rPr>
        <w:t>研究，制定本方案。</w:t>
      </w:r>
    </w:p>
    <w:p>
      <w:pPr>
        <w:overflowPunct w:val="0"/>
        <w:adjustRightInd w:val="0"/>
        <w:snapToGrid w:val="0"/>
        <w:spacing w:line="570" w:lineRule="exact"/>
        <w:ind w:firstLine="641"/>
        <w:rPr>
          <w:rFonts w:ascii="Times New Roman" w:eastAsia="黑体"/>
          <w:snapToGrid w:val="0"/>
          <w:color w:val="000000"/>
          <w:spacing w:val="-6"/>
        </w:rPr>
      </w:pPr>
      <w:r>
        <w:rPr>
          <w:rFonts w:hint="eastAsia" w:ascii="Times New Roman" w:eastAsia="黑体"/>
          <w:snapToGrid w:val="0"/>
          <w:color w:val="000000"/>
          <w:spacing w:val="-6"/>
        </w:rPr>
        <w:t>一、总体目标</w:t>
      </w:r>
    </w:p>
    <w:p>
      <w:pPr>
        <w:overflowPunct w:val="0"/>
        <w:adjustRightInd w:val="0"/>
        <w:snapToGrid w:val="0"/>
        <w:spacing w:line="570" w:lineRule="exact"/>
        <w:ind w:firstLine="641"/>
        <w:rPr>
          <w:rFonts w:hAnsi="仿宋_GB2312" w:cs="仿宋_GB2312"/>
          <w:snapToGrid w:val="0"/>
          <w:color w:val="000000"/>
          <w:spacing w:val="-6"/>
        </w:rPr>
      </w:pPr>
      <w:r>
        <w:rPr>
          <w:rFonts w:hint="eastAsia" w:hAnsi="仿宋_GB2312" w:cs="仿宋_GB2312"/>
          <w:snapToGrid w:val="0"/>
          <w:color w:val="000000"/>
          <w:spacing w:val="-6"/>
          <w:shd w:val="clear" w:color="auto" w:fill="FFFFFF"/>
        </w:rPr>
        <w:t>坚持以</w:t>
      </w:r>
      <w:r>
        <w:rPr>
          <w:rFonts w:hint="eastAsia" w:hAnsi="仿宋_GB2312" w:cs="仿宋_GB2312"/>
          <w:snapToGrid w:val="0"/>
          <w:color w:val="000000"/>
          <w:spacing w:val="-6"/>
        </w:rPr>
        <w:t>习近平新时代中国特色社会主义思想为指导，全面贯彻落实党的二十大和二十届二中全会精神，聚</w:t>
      </w:r>
      <w:r>
        <w:rPr>
          <w:rFonts w:hint="eastAsia" w:hAnsi="仿宋_GB2312" w:cs="仿宋_GB2312"/>
          <w:snapToGrid w:val="0"/>
          <w:color w:val="000000"/>
          <w:spacing w:val="-6"/>
          <w:highlight w:val="none"/>
        </w:rPr>
        <w:t>焦“重点项目落地见效年”战略任务</w:t>
      </w:r>
      <w:r>
        <w:rPr>
          <w:rFonts w:hint="eastAsia" w:hAnsi="仿宋_GB2312" w:cs="仿宋_GB2312"/>
          <w:snapToGrid w:val="0"/>
          <w:color w:val="000000"/>
          <w:spacing w:val="-6"/>
        </w:rPr>
        <w:t>，充分发挥市场监管综合执法优势，</w:t>
      </w:r>
      <w:r>
        <w:rPr>
          <w:rFonts w:hint="eastAsia" w:hAnsi="仿宋_GB2312" w:cs="仿宋_GB2312"/>
          <w:snapToGrid w:val="0"/>
          <w:color w:val="000000"/>
          <w:spacing w:val="-6"/>
          <w:shd w:val="clear" w:color="auto" w:fill="FFFFFF"/>
        </w:rPr>
        <w:t>切实加大</w:t>
      </w:r>
      <w:r>
        <w:rPr>
          <w:rFonts w:hint="eastAsia" w:hAnsi="仿宋_GB2312" w:cs="仿宋_GB2312"/>
          <w:snapToGrid w:val="0"/>
          <w:color w:val="000000"/>
          <w:spacing w:val="-6"/>
        </w:rPr>
        <w:t>关系群众切身利益违法行为的</w:t>
      </w:r>
      <w:r>
        <w:rPr>
          <w:rFonts w:hint="eastAsia" w:hAnsi="仿宋_GB2312" w:cs="仿宋_GB2312"/>
          <w:snapToGrid w:val="0"/>
          <w:color w:val="000000"/>
          <w:spacing w:val="-6"/>
          <w:shd w:val="clear" w:color="auto" w:fill="FFFFFF"/>
        </w:rPr>
        <w:t>执法力度，精准重拳出击，加强典型案例曝光，着力解决好人民群众急难愁盼的问题，</w:t>
      </w:r>
      <w:r>
        <w:rPr>
          <w:rFonts w:hint="eastAsia" w:hAnsi="仿宋_GB2312" w:cs="仿宋_GB2312"/>
          <w:snapToGrid w:val="0"/>
          <w:color w:val="000000"/>
          <w:spacing w:val="-6"/>
        </w:rPr>
        <w:t>营造安全放心的消费环境，以执法小切口，护航大民生，切实增强人民群众的获得感、满意度。</w:t>
      </w:r>
    </w:p>
    <w:p>
      <w:pPr>
        <w:pStyle w:val="2"/>
        <w:overflowPunct w:val="0"/>
        <w:adjustRightInd w:val="0"/>
        <w:snapToGrid w:val="0"/>
        <w:spacing w:line="570" w:lineRule="exact"/>
        <w:ind w:firstLine="616" w:firstLineChars="200"/>
        <w:rPr>
          <w:rFonts w:ascii="Times New Roman" w:eastAsia="黑体"/>
          <w:snapToGrid w:val="0"/>
          <w:color w:val="000000"/>
          <w:spacing w:val="-6"/>
        </w:rPr>
      </w:pPr>
      <w:r>
        <w:rPr>
          <w:rFonts w:hint="eastAsia" w:ascii="Times New Roman" w:eastAsia="黑体"/>
          <w:snapToGrid w:val="0"/>
          <w:color w:val="000000"/>
          <w:spacing w:val="-6"/>
        </w:rPr>
        <w:t>二、重点任务</w:t>
      </w:r>
    </w:p>
    <w:p>
      <w:pPr>
        <w:pStyle w:val="2"/>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以“护民生”为中心，以“保安全”“反欺诈”为主题，聚焦</w:t>
      </w:r>
      <w:r>
        <w:rPr>
          <w:rFonts w:hint="eastAsia" w:hAnsi="仿宋_GB2312" w:cs="仿宋_GB2312"/>
          <w:snapToGrid w:val="0"/>
          <w:color w:val="000000"/>
          <w:spacing w:val="-6"/>
        </w:rPr>
        <w:t>群众身边的突出问题，</w:t>
      </w:r>
      <w:r>
        <w:rPr>
          <w:rFonts w:hint="eastAsia" w:hAnsi="仿宋_GB2312" w:cs="仿宋_GB2312"/>
          <w:snapToGrid w:val="0"/>
          <w:color w:val="000000"/>
          <w:spacing w:val="-6"/>
          <w:shd w:val="clear" w:color="auto" w:fill="FFFFFF"/>
        </w:rPr>
        <w:t>综合运用市场监管工具箱，对损害群众切身利益的违法行为进行打击整治。</w:t>
      </w:r>
    </w:p>
    <w:p>
      <w:pPr>
        <w:pStyle w:val="2"/>
        <w:overflowPunct w:val="0"/>
        <w:adjustRightInd w:val="0"/>
        <w:snapToGrid w:val="0"/>
        <w:spacing w:line="570" w:lineRule="exact"/>
        <w:ind w:firstLine="616" w:firstLineChars="200"/>
        <w:rPr>
          <w:rFonts w:ascii="Times New Roman" w:eastAsia="楷体_GB2312"/>
          <w:snapToGrid w:val="0"/>
          <w:color w:val="000000"/>
          <w:spacing w:val="-6"/>
        </w:rPr>
      </w:pPr>
      <w:r>
        <w:rPr>
          <w:rFonts w:hint="eastAsia" w:ascii="Times New Roman" w:eastAsia="楷体_GB2312"/>
          <w:snapToGrid w:val="0"/>
          <w:color w:val="000000"/>
          <w:spacing w:val="-6"/>
        </w:rPr>
        <w:t>（一）</w:t>
      </w:r>
      <w:r>
        <w:rPr>
          <w:rFonts w:hint="eastAsia" w:ascii="Times New Roman" w:eastAsia="楷体_GB2312"/>
          <w:snapToGrid w:val="0"/>
          <w:color w:val="000000"/>
          <w:spacing w:val="-6"/>
          <w:lang w:val="en-US" w:eastAsia="zh-CN"/>
        </w:rPr>
        <w:t>总</w:t>
      </w:r>
      <w:r>
        <w:rPr>
          <w:rFonts w:hint="eastAsia" w:ascii="Times New Roman" w:eastAsia="楷体_GB2312"/>
          <w:snapToGrid w:val="0"/>
          <w:color w:val="000000"/>
          <w:spacing w:val="-6"/>
        </w:rPr>
        <w:t>局明确的查办重点</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1</w:t>
      </w:r>
      <w:r>
        <w:rPr>
          <w:rFonts w:hAnsi="仿宋_GB2312" w:cs="仿宋_GB2312"/>
          <w:snapToGrid w:val="0"/>
          <w:color w:val="000000"/>
          <w:spacing w:val="-6"/>
          <w:shd w:val="clear" w:color="auto" w:fill="FFFFFF"/>
        </w:rPr>
        <w:t>.</w:t>
      </w:r>
      <w:r>
        <w:rPr>
          <w:rFonts w:hint="eastAsia" w:hAnsi="仿宋_GB2312" w:cs="仿宋_GB2312"/>
          <w:snapToGrid w:val="0"/>
          <w:color w:val="000000"/>
          <w:spacing w:val="-6"/>
          <w:shd w:val="clear" w:color="auto" w:fill="FFFFFF"/>
        </w:rPr>
        <w:t>劣质燃气灶具；</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2</w:t>
      </w:r>
      <w:r>
        <w:rPr>
          <w:rFonts w:hAnsi="仿宋_GB2312" w:cs="仿宋_GB2312"/>
          <w:snapToGrid w:val="0"/>
          <w:color w:val="000000"/>
          <w:spacing w:val="-6"/>
          <w:shd w:val="clear" w:color="auto" w:fill="FFFFFF"/>
        </w:rPr>
        <w:t>.</w:t>
      </w:r>
      <w:r>
        <w:rPr>
          <w:rFonts w:hint="eastAsia" w:hAnsi="仿宋_GB2312" w:cs="仿宋_GB2312"/>
          <w:snapToGrid w:val="0"/>
          <w:color w:val="000000"/>
          <w:spacing w:val="-6"/>
          <w:shd w:val="clear" w:color="auto" w:fill="FFFFFF"/>
        </w:rPr>
        <w:t>劣质电动自行车；</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3</w:t>
      </w:r>
      <w:r>
        <w:rPr>
          <w:rFonts w:hAnsi="仿宋_GB2312" w:cs="仿宋_GB2312"/>
          <w:snapToGrid w:val="0"/>
          <w:color w:val="000000"/>
          <w:spacing w:val="-6"/>
          <w:shd w:val="clear" w:color="auto" w:fill="FFFFFF"/>
        </w:rPr>
        <w:t>.</w:t>
      </w:r>
      <w:r>
        <w:rPr>
          <w:rFonts w:hint="eastAsia" w:hAnsi="仿宋_GB2312" w:cs="仿宋_GB2312"/>
          <w:snapToGrid w:val="0"/>
          <w:color w:val="000000"/>
          <w:spacing w:val="-6"/>
          <w:shd w:val="clear" w:color="auto" w:fill="FFFFFF"/>
        </w:rPr>
        <w:t>劣质儿童玩具；</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4</w:t>
      </w:r>
      <w:r>
        <w:rPr>
          <w:rFonts w:hAnsi="仿宋_GB2312" w:cs="仿宋_GB2312"/>
          <w:snapToGrid w:val="0"/>
          <w:color w:val="000000"/>
          <w:spacing w:val="-6"/>
          <w:shd w:val="clear" w:color="auto" w:fill="FFFFFF"/>
        </w:rPr>
        <w:t>.</w:t>
      </w:r>
      <w:r>
        <w:rPr>
          <w:rFonts w:hint="eastAsia" w:hAnsi="仿宋_GB2312" w:cs="仿宋_GB2312"/>
          <w:snapToGrid w:val="0"/>
          <w:color w:val="000000"/>
          <w:spacing w:val="-6"/>
          <w:shd w:val="clear" w:color="auto" w:fill="FFFFFF"/>
        </w:rPr>
        <w:t>食品非法添加药品及其衍生物；</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5</w:t>
      </w:r>
      <w:r>
        <w:rPr>
          <w:rFonts w:hAnsi="仿宋_GB2312" w:cs="仿宋_GB2312"/>
          <w:snapToGrid w:val="0"/>
          <w:color w:val="000000"/>
          <w:spacing w:val="-6"/>
          <w:shd w:val="clear" w:color="auto" w:fill="FFFFFF"/>
        </w:rPr>
        <w:t>.</w:t>
      </w:r>
      <w:r>
        <w:rPr>
          <w:rFonts w:hint="eastAsia" w:hAnsi="仿宋_GB2312" w:cs="仿宋_GB2312"/>
          <w:snapToGrid w:val="0"/>
          <w:color w:val="000000"/>
          <w:spacing w:val="-6"/>
          <w:shd w:val="clear" w:color="auto" w:fill="FFFFFF"/>
        </w:rPr>
        <w:t>违法生产使用小型锅炉；</w:t>
      </w:r>
    </w:p>
    <w:p>
      <w:pPr>
        <w:overflowPunct w:val="0"/>
        <w:adjustRightInd w:val="0"/>
        <w:snapToGrid w:val="0"/>
        <w:spacing w:line="570" w:lineRule="exact"/>
        <w:ind w:firstLine="616" w:firstLineChars="200"/>
        <w:rPr>
          <w:rFonts w:hAnsi="仿宋_GB2312" w:cs="仿宋_GB2312"/>
          <w:bCs/>
          <w:snapToGrid w:val="0"/>
          <w:color w:val="000000"/>
          <w:spacing w:val="-6"/>
        </w:rPr>
      </w:pPr>
      <w:r>
        <w:rPr>
          <w:rFonts w:hint="eastAsia" w:hAnsi="仿宋_GB2312" w:cs="仿宋_GB2312"/>
          <w:bCs/>
          <w:snapToGrid w:val="0"/>
          <w:color w:val="000000"/>
          <w:spacing w:val="-6"/>
        </w:rPr>
        <w:t>6</w:t>
      </w:r>
      <w:r>
        <w:rPr>
          <w:rFonts w:hAnsi="仿宋_GB2312" w:cs="仿宋_GB2312"/>
          <w:bCs/>
          <w:snapToGrid w:val="0"/>
          <w:color w:val="000000"/>
          <w:spacing w:val="-6"/>
        </w:rPr>
        <w:t>.</w:t>
      </w:r>
      <w:r>
        <w:rPr>
          <w:rFonts w:hint="eastAsia" w:hAnsi="仿宋_GB2312" w:cs="仿宋_GB2312"/>
          <w:bCs/>
          <w:snapToGrid w:val="0"/>
          <w:color w:val="000000"/>
          <w:spacing w:val="-6"/>
        </w:rPr>
        <w:t>出具不实或虚假检验检测报告；</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7</w:t>
      </w:r>
      <w:r>
        <w:rPr>
          <w:rFonts w:hAnsi="仿宋_GB2312" w:cs="仿宋_GB2312"/>
          <w:snapToGrid w:val="0"/>
          <w:color w:val="000000"/>
          <w:spacing w:val="-6"/>
          <w:shd w:val="clear" w:color="auto" w:fill="FFFFFF"/>
        </w:rPr>
        <w:t>.</w:t>
      </w:r>
      <w:r>
        <w:rPr>
          <w:rFonts w:hint="eastAsia" w:hAnsi="仿宋_GB2312" w:cs="仿宋_GB2312"/>
          <w:snapToGrid w:val="0"/>
          <w:color w:val="000000"/>
          <w:spacing w:val="-6"/>
          <w:shd w:val="clear" w:color="auto" w:fill="FFFFFF"/>
        </w:rPr>
        <w:t>加油机计量作弊；</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rPr>
        <w:t>8</w:t>
      </w:r>
      <w:r>
        <w:rPr>
          <w:rFonts w:hAnsi="仿宋_GB2312" w:cs="仿宋_GB2312"/>
          <w:snapToGrid w:val="0"/>
          <w:color w:val="000000"/>
          <w:spacing w:val="-6"/>
        </w:rPr>
        <w:t>.</w:t>
      </w:r>
      <w:r>
        <w:rPr>
          <w:rFonts w:hint="eastAsia" w:hAnsi="仿宋_GB2312" w:cs="仿宋_GB2312"/>
          <w:snapToGrid w:val="0"/>
          <w:color w:val="000000"/>
          <w:spacing w:val="-6"/>
        </w:rPr>
        <w:t>利用不公平格式条款侵害消费者权益</w:t>
      </w:r>
      <w:r>
        <w:rPr>
          <w:rFonts w:hint="eastAsia" w:hAnsi="仿宋_GB2312" w:cs="仿宋_GB2312"/>
          <w:snapToGrid w:val="0"/>
          <w:color w:val="000000"/>
          <w:spacing w:val="-6"/>
          <w:shd w:val="clear" w:color="auto" w:fill="FFFFFF"/>
        </w:rPr>
        <w:t>；</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9</w:t>
      </w:r>
      <w:r>
        <w:rPr>
          <w:rFonts w:hAnsi="仿宋_GB2312" w:cs="仿宋_GB2312"/>
          <w:snapToGrid w:val="0"/>
          <w:color w:val="000000"/>
          <w:spacing w:val="-6"/>
          <w:shd w:val="clear" w:color="auto" w:fill="FFFFFF"/>
        </w:rPr>
        <w:t>.</w:t>
      </w:r>
      <w:r>
        <w:rPr>
          <w:rFonts w:hint="eastAsia" w:hAnsi="仿宋_GB2312" w:cs="仿宋_GB2312"/>
          <w:snapToGrid w:val="0"/>
          <w:color w:val="000000"/>
          <w:spacing w:val="-6"/>
          <w:shd w:val="clear" w:color="auto" w:fill="FFFFFF"/>
        </w:rPr>
        <w:t>商标侵权、伪造或冒用地理标志；</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1</w:t>
      </w:r>
      <w:r>
        <w:rPr>
          <w:rFonts w:hAnsi="仿宋_GB2312" w:cs="仿宋_GB2312"/>
          <w:snapToGrid w:val="0"/>
          <w:color w:val="000000"/>
          <w:spacing w:val="-6"/>
          <w:shd w:val="clear" w:color="auto" w:fill="FFFFFF"/>
        </w:rPr>
        <w:t>0.</w:t>
      </w:r>
      <w:r>
        <w:rPr>
          <w:rFonts w:hint="eastAsia" w:hAnsi="仿宋_GB2312" w:cs="仿宋_GB2312"/>
          <w:snapToGrid w:val="0"/>
          <w:color w:val="000000"/>
          <w:spacing w:val="-6"/>
          <w:shd w:val="clear" w:color="auto" w:fill="FFFFFF"/>
        </w:rPr>
        <w:t>价格欺诈；</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1</w:t>
      </w:r>
      <w:r>
        <w:rPr>
          <w:rFonts w:hAnsi="仿宋_GB2312" w:cs="仿宋_GB2312"/>
          <w:snapToGrid w:val="0"/>
          <w:color w:val="000000"/>
          <w:spacing w:val="-6"/>
          <w:shd w:val="clear" w:color="auto" w:fill="FFFFFF"/>
        </w:rPr>
        <w:t>1.</w:t>
      </w:r>
      <w:r>
        <w:rPr>
          <w:rFonts w:hint="eastAsia" w:hAnsi="仿宋_GB2312" w:cs="仿宋_GB2312"/>
          <w:snapToGrid w:val="0"/>
          <w:color w:val="000000"/>
          <w:spacing w:val="-6"/>
          <w:shd w:val="clear" w:color="auto" w:fill="FFFFFF"/>
        </w:rPr>
        <w:t>虚假违法广告。</w:t>
      </w:r>
    </w:p>
    <w:p>
      <w:pPr>
        <w:overflowPunct w:val="0"/>
        <w:adjustRightInd w:val="0"/>
        <w:snapToGrid w:val="0"/>
        <w:spacing w:line="570" w:lineRule="exact"/>
        <w:ind w:firstLine="616" w:firstLineChars="200"/>
        <w:rPr>
          <w:rFonts w:ascii="Times New Roman" w:eastAsia="楷体_GB2312"/>
          <w:snapToGrid w:val="0"/>
          <w:color w:val="000000"/>
          <w:spacing w:val="-6"/>
        </w:rPr>
      </w:pPr>
      <w:r>
        <w:rPr>
          <w:rFonts w:hint="eastAsia" w:ascii="Times New Roman" w:eastAsia="楷体_GB2312"/>
          <w:snapToGrid w:val="0"/>
          <w:color w:val="000000"/>
          <w:spacing w:val="-6"/>
        </w:rPr>
        <w:t>（二）省局明确的查办重点</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1</w:t>
      </w:r>
      <w:r>
        <w:rPr>
          <w:rFonts w:hAnsi="仿宋_GB2312" w:cs="仿宋_GB2312"/>
          <w:snapToGrid w:val="0"/>
          <w:color w:val="000000"/>
          <w:spacing w:val="-6"/>
          <w:shd w:val="clear" w:color="auto" w:fill="FFFFFF"/>
        </w:rPr>
        <w:t>.</w:t>
      </w:r>
      <w:r>
        <w:rPr>
          <w:rFonts w:hint="eastAsia" w:hAnsi="仿宋_GB2312" w:cs="仿宋_GB2312"/>
          <w:snapToGrid w:val="0"/>
          <w:color w:val="000000"/>
          <w:spacing w:val="-6"/>
          <w:shd w:val="clear" w:color="auto" w:fill="FFFFFF"/>
        </w:rPr>
        <w:t>生产销售伪劣建材；</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2.肉及肉制品掺假掺杂；</w:t>
      </w:r>
    </w:p>
    <w:p>
      <w:pPr>
        <w:overflowPunct w:val="0"/>
        <w:adjustRightInd w:val="0"/>
        <w:snapToGrid w:val="0"/>
        <w:spacing w:line="570" w:lineRule="exact"/>
        <w:ind w:firstLine="616" w:firstLineChars="2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3.气瓶违法充装。</w:t>
      </w:r>
    </w:p>
    <w:p>
      <w:pPr>
        <w:overflowPunct w:val="0"/>
        <w:adjustRightInd w:val="0"/>
        <w:snapToGrid w:val="0"/>
        <w:spacing w:line="570" w:lineRule="exact"/>
        <w:ind w:firstLine="616" w:firstLineChars="200"/>
        <w:rPr>
          <w:rFonts w:ascii="Times New Roman" w:eastAsia="楷体_GB2312"/>
          <w:snapToGrid w:val="0"/>
          <w:color w:val="000000"/>
          <w:spacing w:val="-6"/>
        </w:rPr>
      </w:pPr>
      <w:r>
        <w:rPr>
          <w:rFonts w:hint="eastAsia" w:ascii="Times New Roman" w:eastAsia="楷体_GB2312"/>
          <w:snapToGrid w:val="0"/>
          <w:color w:val="000000"/>
          <w:spacing w:val="-6"/>
        </w:rPr>
        <w:t>（三）市局明确的查办重点</w:t>
      </w:r>
    </w:p>
    <w:p>
      <w:pPr>
        <w:overflowPunct w:val="0"/>
        <w:adjustRightInd w:val="0"/>
        <w:snapToGrid w:val="0"/>
        <w:spacing w:line="570" w:lineRule="exact"/>
        <w:ind w:firstLine="616" w:firstLineChars="200"/>
        <w:rPr>
          <w:rFonts w:hAnsi="仿宋_GB2312" w:cs="仿宋_GB2312"/>
          <w:snapToGrid w:val="0"/>
          <w:color w:val="000000"/>
          <w:spacing w:val="-6"/>
        </w:rPr>
      </w:pPr>
      <w:r>
        <w:rPr>
          <w:rFonts w:hint="eastAsia" w:hAnsi="仿宋_GB2312" w:cs="仿宋_GB2312"/>
          <w:snapToGrid w:val="0"/>
          <w:color w:val="000000"/>
          <w:spacing w:val="-6"/>
        </w:rPr>
        <w:t>1</w:t>
      </w:r>
      <w:r>
        <w:rPr>
          <w:rFonts w:hint="eastAsia" w:hAnsi="仿宋_GB2312" w:cs="仿宋_GB2312"/>
          <w:snapToGrid w:val="0"/>
          <w:color w:val="000000"/>
          <w:spacing w:val="-6"/>
          <w:shd w:val="clear" w:color="auto" w:fill="FFFFFF"/>
        </w:rPr>
        <w:t>.</w:t>
      </w:r>
      <w:r>
        <w:rPr>
          <w:rFonts w:hint="eastAsia" w:hAnsi="仿宋_GB2312" w:cs="仿宋_GB2312"/>
          <w:snapToGrid w:val="0"/>
          <w:color w:val="000000"/>
          <w:spacing w:val="-6"/>
        </w:rPr>
        <w:t>制售“山寨”商品行为</w:t>
      </w:r>
    </w:p>
    <w:p>
      <w:pPr>
        <w:pStyle w:val="2"/>
      </w:pPr>
      <w:r>
        <w:rPr>
          <w:rFonts w:hint="eastAsia"/>
        </w:rPr>
        <w:t xml:space="preserve">    2</w:t>
      </w:r>
      <w:r>
        <w:rPr>
          <w:rFonts w:hint="eastAsia" w:hAnsi="仿宋_GB2312" w:cs="仿宋_GB2312"/>
          <w:snapToGrid w:val="0"/>
          <w:color w:val="000000"/>
          <w:spacing w:val="-6"/>
          <w:shd w:val="clear" w:color="auto" w:fill="FFFFFF"/>
        </w:rPr>
        <w:t>.</w:t>
      </w:r>
      <w:r>
        <w:rPr>
          <w:rFonts w:hint="eastAsia"/>
        </w:rPr>
        <w:t>食品超范围、超限量使用食品添加剂</w:t>
      </w:r>
    </w:p>
    <w:p>
      <w:pPr>
        <w:overflowPunct w:val="0"/>
        <w:adjustRightInd w:val="0"/>
        <w:snapToGrid w:val="0"/>
        <w:spacing w:line="570" w:lineRule="exact"/>
        <w:ind w:firstLine="616" w:firstLineChars="200"/>
        <w:rPr>
          <w:rFonts w:hAnsi="仿宋_GB2312" w:cs="仿宋_GB2312"/>
          <w:snapToGrid w:val="0"/>
          <w:color w:val="000000"/>
          <w:spacing w:val="-6"/>
        </w:rPr>
      </w:pPr>
      <w:r>
        <w:rPr>
          <w:rFonts w:hint="eastAsia" w:hAnsi="仿宋_GB2312" w:cs="仿宋_GB2312"/>
          <w:snapToGrid w:val="0"/>
          <w:color w:val="000000"/>
          <w:spacing w:val="-6"/>
        </w:rPr>
        <w:t>坚持“规定动作”与“自选动作”相结合，各</w:t>
      </w:r>
      <w:r>
        <w:rPr>
          <w:rFonts w:hint="eastAsia" w:hAnsi="仿宋_GB2312" w:cs="仿宋_GB2312"/>
          <w:snapToGrid w:val="0"/>
          <w:color w:val="000000"/>
          <w:spacing w:val="-6"/>
          <w:lang w:val="en-US" w:eastAsia="zh-CN"/>
        </w:rPr>
        <w:t>科室、所</w:t>
      </w:r>
      <w:r>
        <w:rPr>
          <w:rFonts w:hint="eastAsia" w:hAnsi="仿宋_GB2312" w:cs="仿宋_GB2312"/>
          <w:snapToGrid w:val="0"/>
          <w:color w:val="000000"/>
          <w:spacing w:val="-6"/>
        </w:rPr>
        <w:t>在认真组织查办上述领域案件的同时，结合产业分布、消费环境、群众诉求等实际情况确定</w:t>
      </w:r>
      <w:r>
        <w:rPr>
          <w:rFonts w:hint="eastAsia" w:hAnsi="仿宋_GB2312" w:cs="仿宋_GB2312"/>
          <w:snapToGrid w:val="0"/>
          <w:color w:val="000000"/>
          <w:spacing w:val="-6"/>
          <w:lang w:eastAsia="zh-CN"/>
        </w:rPr>
        <w:t>辖区</w:t>
      </w:r>
      <w:r>
        <w:rPr>
          <w:rFonts w:hint="eastAsia" w:hAnsi="仿宋_GB2312" w:cs="仿宋_GB2312"/>
          <w:snapToGrid w:val="0"/>
          <w:color w:val="000000"/>
          <w:spacing w:val="-6"/>
        </w:rPr>
        <w:t>案件查办重点。</w:t>
      </w:r>
    </w:p>
    <w:p>
      <w:pPr>
        <w:overflowPunct w:val="0"/>
        <w:adjustRightInd w:val="0"/>
        <w:snapToGrid w:val="0"/>
        <w:spacing w:line="570" w:lineRule="exact"/>
        <w:ind w:firstLine="640"/>
        <w:rPr>
          <w:rFonts w:ascii="Times New Roman" w:eastAsia="黑体"/>
          <w:snapToGrid w:val="0"/>
          <w:color w:val="000000"/>
          <w:spacing w:val="-6"/>
        </w:rPr>
      </w:pPr>
      <w:r>
        <w:rPr>
          <w:rFonts w:hint="eastAsia" w:ascii="Times New Roman" w:eastAsia="黑体"/>
          <w:snapToGrid w:val="0"/>
          <w:color w:val="000000"/>
          <w:spacing w:val="-6"/>
        </w:rPr>
        <w:t>三、保障措施</w:t>
      </w:r>
    </w:p>
    <w:p>
      <w:pPr>
        <w:overflowPunct w:val="0"/>
        <w:adjustRightInd w:val="0"/>
        <w:snapToGrid w:val="0"/>
        <w:spacing w:line="570" w:lineRule="exact"/>
        <w:ind w:firstLine="640"/>
        <w:rPr>
          <w:rFonts w:hAnsi="仿宋_GB2312" w:cs="仿宋_GB2312"/>
          <w:snapToGrid w:val="0"/>
          <w:color w:val="000000"/>
          <w:spacing w:val="-6"/>
          <w:shd w:val="clear" w:color="auto" w:fill="FFFFFF"/>
        </w:rPr>
      </w:pPr>
      <w:r>
        <w:rPr>
          <w:rFonts w:ascii="Times New Roman" w:eastAsia="楷体_GB2312"/>
          <w:snapToGrid w:val="0"/>
          <w:color w:val="000000"/>
          <w:spacing w:val="-6"/>
        </w:rPr>
        <w:t>（</w:t>
      </w:r>
      <w:r>
        <w:rPr>
          <w:rFonts w:hint="eastAsia" w:ascii="Times New Roman" w:eastAsia="楷体_GB2312"/>
          <w:snapToGrid w:val="0"/>
          <w:color w:val="000000"/>
          <w:spacing w:val="-6"/>
        </w:rPr>
        <w:t>一</w:t>
      </w:r>
      <w:r>
        <w:rPr>
          <w:rFonts w:ascii="Times New Roman" w:eastAsia="楷体_GB2312"/>
          <w:snapToGrid w:val="0"/>
          <w:color w:val="000000"/>
          <w:spacing w:val="-6"/>
        </w:rPr>
        <w:t>）健全长效机制</w:t>
      </w:r>
      <w:r>
        <w:rPr>
          <w:rFonts w:hint="eastAsia" w:ascii="Times New Roman" w:eastAsia="楷体_GB2312"/>
          <w:snapToGrid w:val="0"/>
          <w:color w:val="000000"/>
          <w:spacing w:val="-6"/>
        </w:rPr>
        <w:t>，提升综合执法效能</w:t>
      </w:r>
      <w:r>
        <w:rPr>
          <w:rFonts w:ascii="Times New Roman" w:eastAsia="楷体_GB2312"/>
          <w:snapToGrid w:val="0"/>
          <w:color w:val="000000"/>
          <w:spacing w:val="-6"/>
        </w:rPr>
        <w:t>。</w:t>
      </w:r>
      <w:r>
        <w:rPr>
          <w:rFonts w:hint="eastAsia" w:hAnsi="仿宋_GB2312" w:cs="仿宋_GB2312"/>
          <w:snapToGrid w:val="0"/>
          <w:color w:val="000000"/>
          <w:spacing w:val="-6"/>
          <w:shd w:val="clear" w:color="auto" w:fill="FFFFFF"/>
        </w:rPr>
        <w:t>利用12315平台多方汇集违法线索，提高对违法行为的发现、甄别、挖掘和精准打击能力。加强监管执法融合，</w:t>
      </w:r>
      <w:r>
        <w:rPr>
          <w:rFonts w:hint="eastAsia" w:hAnsi="仿宋_GB2312" w:cs="仿宋_GB2312"/>
          <w:snapToGrid w:val="0"/>
          <w:color w:val="000000"/>
          <w:spacing w:val="-6"/>
        </w:rPr>
        <w:t>查办案件过程中发现行业性、区域性、苗头性</w:t>
      </w:r>
      <w:r>
        <w:rPr>
          <w:rFonts w:hint="eastAsia" w:hAnsi="仿宋_GB2312" w:cs="仿宋_GB2312"/>
          <w:snapToGrid w:val="0"/>
          <w:color w:val="000000"/>
          <w:spacing w:val="-6"/>
          <w:shd w:val="clear" w:color="auto" w:fill="FFFFFF"/>
        </w:rPr>
        <w:t>风险隐患</w:t>
      </w:r>
      <w:r>
        <w:rPr>
          <w:rFonts w:hint="eastAsia" w:hAnsi="仿宋_GB2312" w:cs="仿宋_GB2312"/>
          <w:snapToGrid w:val="0"/>
          <w:color w:val="000000"/>
          <w:spacing w:val="-6"/>
        </w:rPr>
        <w:t>问题的，及时通报相关业务</w:t>
      </w:r>
      <w:r>
        <w:rPr>
          <w:rFonts w:hint="eastAsia" w:hAnsi="仿宋_GB2312" w:cs="仿宋_GB2312"/>
          <w:snapToGrid w:val="0"/>
          <w:color w:val="000000"/>
          <w:spacing w:val="-6"/>
          <w:lang w:val="en-US" w:eastAsia="zh-CN"/>
        </w:rPr>
        <w:t>科室</w:t>
      </w:r>
      <w:r>
        <w:rPr>
          <w:rFonts w:hint="eastAsia" w:hAnsi="仿宋_GB2312" w:cs="仿宋_GB2312"/>
          <w:snapToGrid w:val="0"/>
          <w:color w:val="000000"/>
          <w:spacing w:val="-6"/>
        </w:rPr>
        <w:t>研究解决，</w:t>
      </w:r>
      <w:r>
        <w:rPr>
          <w:rFonts w:hint="eastAsia" w:hAnsi="仿宋_GB2312" w:cs="仿宋_GB2312"/>
          <w:snapToGrid w:val="0"/>
          <w:color w:val="000000"/>
          <w:spacing w:val="-6"/>
          <w:shd w:val="clear" w:color="auto" w:fill="FFFFFF"/>
        </w:rPr>
        <w:t>相关</w:t>
      </w:r>
      <w:r>
        <w:rPr>
          <w:rFonts w:hint="eastAsia" w:hAnsi="仿宋_GB2312" w:cs="仿宋_GB2312"/>
          <w:snapToGrid w:val="0"/>
          <w:color w:val="000000"/>
          <w:spacing w:val="-6"/>
          <w:shd w:val="clear" w:color="auto" w:fill="FFFFFF"/>
          <w:lang w:val="en-US" w:eastAsia="zh-CN"/>
        </w:rPr>
        <w:t>业务科室</w:t>
      </w:r>
      <w:r>
        <w:rPr>
          <w:rFonts w:hint="eastAsia" w:hAnsi="仿宋_GB2312" w:cs="仿宋_GB2312"/>
          <w:snapToGrid w:val="0"/>
          <w:color w:val="000000"/>
          <w:spacing w:val="-6"/>
          <w:shd w:val="clear" w:color="auto" w:fill="FFFFFF"/>
        </w:rPr>
        <w:t>加强对本领域案件查办指导</w:t>
      </w:r>
      <w:r>
        <w:rPr>
          <w:rFonts w:hint="eastAsia" w:hAnsi="仿宋_GB2312" w:cs="仿宋_GB2312"/>
          <w:snapToGrid w:val="0"/>
          <w:color w:val="000000"/>
          <w:spacing w:val="-6"/>
          <w:shd w:val="clear" w:color="auto" w:fill="FFFFFF"/>
          <w:lang w:eastAsia="zh-CN"/>
        </w:rPr>
        <w:t>，</w:t>
      </w:r>
      <w:r>
        <w:rPr>
          <w:rFonts w:hint="eastAsia" w:hAnsi="仿宋_GB2312" w:cs="仿宋_GB2312"/>
          <w:snapToGrid w:val="0"/>
          <w:color w:val="000000"/>
          <w:spacing w:val="-6"/>
        </w:rPr>
        <w:t>提高</w:t>
      </w:r>
      <w:r>
        <w:rPr>
          <w:rFonts w:hint="eastAsia" w:hAnsi="仿宋_GB2312" w:cs="仿宋_GB2312"/>
          <w:snapToGrid w:val="0"/>
          <w:color w:val="000000"/>
          <w:spacing w:val="-6"/>
          <w:lang w:eastAsia="zh-CN"/>
        </w:rPr>
        <w:t>综合执法</w:t>
      </w:r>
      <w:r>
        <w:rPr>
          <w:rFonts w:hint="eastAsia" w:hAnsi="仿宋_GB2312" w:cs="仿宋_GB2312"/>
          <w:snapToGrid w:val="0"/>
          <w:color w:val="000000"/>
          <w:spacing w:val="-6"/>
        </w:rPr>
        <w:t>工作有效性</w:t>
      </w:r>
      <w:r>
        <w:rPr>
          <w:rFonts w:hint="eastAsia" w:hAnsi="仿宋_GB2312" w:cs="仿宋_GB2312"/>
          <w:snapToGrid w:val="0"/>
          <w:color w:val="000000"/>
          <w:spacing w:val="-6"/>
          <w:lang w:eastAsia="zh-CN"/>
        </w:rPr>
        <w:t>，</w:t>
      </w:r>
      <w:r>
        <w:rPr>
          <w:rFonts w:hint="eastAsia" w:hAnsi="仿宋_GB2312" w:cs="仿宋_GB2312"/>
          <w:snapToGrid w:val="0"/>
          <w:color w:val="000000"/>
          <w:spacing w:val="-6"/>
        </w:rPr>
        <w:t>增强对违法行为的打击合力。</w:t>
      </w:r>
    </w:p>
    <w:p>
      <w:pPr>
        <w:overflowPunct w:val="0"/>
        <w:adjustRightInd w:val="0"/>
        <w:snapToGrid w:val="0"/>
        <w:spacing w:line="570" w:lineRule="exact"/>
        <w:ind w:firstLine="641"/>
        <w:rPr>
          <w:rFonts w:hAnsi="仿宋_GB2312" w:cs="仿宋_GB2312"/>
          <w:snapToGrid w:val="0"/>
          <w:color w:val="000000"/>
          <w:spacing w:val="-6"/>
          <w:shd w:val="clear" w:color="auto" w:fill="FFFFFF"/>
        </w:rPr>
      </w:pPr>
      <w:r>
        <w:rPr>
          <w:rFonts w:ascii="Times New Roman" w:eastAsia="楷体_GB2312"/>
          <w:snapToGrid w:val="0"/>
          <w:color w:val="000000"/>
          <w:spacing w:val="-6"/>
        </w:rPr>
        <w:t>（二）技术</w:t>
      </w:r>
      <w:r>
        <w:rPr>
          <w:rFonts w:hint="eastAsia" w:ascii="Times New Roman" w:eastAsia="楷体_GB2312"/>
          <w:snapToGrid w:val="0"/>
          <w:color w:val="000000"/>
          <w:spacing w:val="-6"/>
        </w:rPr>
        <w:t>赋能</w:t>
      </w:r>
      <w:r>
        <w:rPr>
          <w:rFonts w:ascii="Times New Roman" w:eastAsia="楷体_GB2312"/>
          <w:snapToGrid w:val="0"/>
          <w:color w:val="000000"/>
          <w:spacing w:val="-6"/>
        </w:rPr>
        <w:t>支撑，</w:t>
      </w:r>
      <w:r>
        <w:rPr>
          <w:rFonts w:hint="eastAsia" w:ascii="Times New Roman" w:eastAsia="楷体_GB2312"/>
          <w:snapToGrid w:val="0"/>
          <w:color w:val="000000"/>
          <w:spacing w:val="-6"/>
        </w:rPr>
        <w:t>提高执法能力水平</w:t>
      </w:r>
      <w:r>
        <w:rPr>
          <w:rFonts w:ascii="Times New Roman" w:eastAsia="楷体_GB2312"/>
          <w:snapToGrid w:val="0"/>
          <w:color w:val="000000"/>
          <w:spacing w:val="-6"/>
        </w:rPr>
        <w:t>。</w:t>
      </w:r>
      <w:r>
        <w:rPr>
          <w:rFonts w:hint="eastAsia" w:hAnsi="仿宋_GB2312" w:cs="仿宋_GB2312"/>
          <w:snapToGrid w:val="0"/>
          <w:color w:val="000000"/>
          <w:spacing w:val="-6"/>
          <w:shd w:val="clear" w:color="auto" w:fill="FFFFFF"/>
        </w:rPr>
        <w:t>有力有序推进“数字+执法”三年行动，强化全国市场监管行政执法平台应用，实现全系统执法案件全流程网上办理、数据全量实时归集和高效分析运用。组织开展大比武、大练兵活动，综合提升</w:t>
      </w:r>
      <w:r>
        <w:rPr>
          <w:rFonts w:hint="eastAsia" w:hAnsi="仿宋_GB2312" w:cs="仿宋_GB2312"/>
          <w:snapToGrid w:val="0"/>
          <w:color w:val="000000"/>
          <w:spacing w:val="-6"/>
          <w:shd w:val="clear" w:color="auto" w:fill="FFFFFF"/>
          <w:lang w:val="en-US" w:eastAsia="zh-CN"/>
        </w:rPr>
        <w:t>全局</w:t>
      </w:r>
      <w:r>
        <w:rPr>
          <w:rFonts w:hint="eastAsia" w:hAnsi="仿宋_GB2312" w:cs="仿宋_GB2312"/>
          <w:snapToGrid w:val="0"/>
          <w:color w:val="000000"/>
          <w:spacing w:val="-6"/>
          <w:shd w:val="clear" w:color="auto" w:fill="FFFFFF"/>
        </w:rPr>
        <w:t>执法人员运用电子数据取证技术查办案件的能力。</w:t>
      </w:r>
    </w:p>
    <w:p>
      <w:pPr>
        <w:overflowPunct w:val="0"/>
        <w:adjustRightInd w:val="0"/>
        <w:snapToGrid w:val="0"/>
        <w:spacing w:line="570" w:lineRule="exact"/>
        <w:ind w:firstLine="641"/>
        <w:rPr>
          <w:rFonts w:hAnsi="仿宋_GB2312" w:cs="仿宋_GB2312"/>
          <w:snapToGrid w:val="0"/>
          <w:color w:val="000000"/>
          <w:spacing w:val="-6"/>
          <w:shd w:val="clear" w:color="auto" w:fill="FFFFFF"/>
        </w:rPr>
      </w:pPr>
      <w:r>
        <w:rPr>
          <w:rFonts w:ascii="Times New Roman" w:eastAsia="楷体_GB2312"/>
          <w:snapToGrid w:val="0"/>
          <w:color w:val="000000"/>
          <w:spacing w:val="-6"/>
        </w:rPr>
        <w:t>（</w:t>
      </w:r>
      <w:r>
        <w:rPr>
          <w:rFonts w:hint="eastAsia" w:ascii="Times New Roman" w:eastAsia="楷体_GB2312"/>
          <w:snapToGrid w:val="0"/>
          <w:color w:val="000000"/>
          <w:spacing w:val="-6"/>
        </w:rPr>
        <w:t>三</w:t>
      </w:r>
      <w:r>
        <w:rPr>
          <w:rFonts w:ascii="Times New Roman" w:eastAsia="楷体_GB2312"/>
          <w:snapToGrid w:val="0"/>
          <w:color w:val="000000"/>
          <w:spacing w:val="-6"/>
        </w:rPr>
        <w:t>）</w:t>
      </w:r>
      <w:r>
        <w:rPr>
          <w:rFonts w:hint="eastAsia" w:ascii="Times New Roman" w:eastAsia="楷体_GB2312"/>
          <w:snapToGrid w:val="0"/>
          <w:color w:val="000000"/>
          <w:spacing w:val="-6"/>
        </w:rPr>
        <w:t>强化攻坚总结，加强</w:t>
      </w:r>
      <w:r>
        <w:rPr>
          <w:rFonts w:ascii="Times New Roman" w:eastAsia="楷体_GB2312"/>
          <w:snapToGrid w:val="0"/>
          <w:color w:val="000000"/>
          <w:spacing w:val="-6"/>
        </w:rPr>
        <w:t>典型经验</w:t>
      </w:r>
      <w:r>
        <w:rPr>
          <w:rFonts w:hint="eastAsia" w:ascii="Times New Roman" w:eastAsia="楷体_GB2312"/>
          <w:snapToGrid w:val="0"/>
          <w:color w:val="000000"/>
          <w:spacing w:val="-6"/>
        </w:rPr>
        <w:t>推广</w:t>
      </w:r>
      <w:r>
        <w:rPr>
          <w:rFonts w:ascii="Times New Roman" w:eastAsia="楷体_GB2312"/>
          <w:snapToGrid w:val="0"/>
          <w:color w:val="000000"/>
          <w:spacing w:val="-6"/>
        </w:rPr>
        <w:t>。</w:t>
      </w:r>
      <w:r>
        <w:rPr>
          <w:rFonts w:hint="eastAsia" w:hAnsi="仿宋_GB2312" w:cs="仿宋_GB2312"/>
          <w:snapToGrid w:val="0"/>
          <w:color w:val="000000"/>
          <w:spacing w:val="-6"/>
          <w:shd w:val="clear" w:color="auto" w:fill="FFFFFF"/>
        </w:rPr>
        <w:t>及时上报“铁拳”行动取得的成效，包括查办大案要案、新型案件、复杂困难案件，组织开展卓有成效的专题行动，发现行业性、区域性、苗头性</w:t>
      </w:r>
      <w:bookmarkStart w:id="0" w:name="_Hlk157894163"/>
      <w:r>
        <w:rPr>
          <w:rFonts w:hint="eastAsia" w:hAnsi="仿宋_GB2312" w:cs="仿宋_GB2312"/>
          <w:snapToGrid w:val="0"/>
          <w:color w:val="000000"/>
          <w:spacing w:val="-6"/>
          <w:shd w:val="clear" w:color="auto" w:fill="FFFFFF"/>
        </w:rPr>
        <w:t>风险隐患</w:t>
      </w:r>
      <w:bookmarkEnd w:id="0"/>
      <w:r>
        <w:rPr>
          <w:rFonts w:hint="eastAsia" w:hAnsi="仿宋_GB2312" w:cs="仿宋_GB2312"/>
          <w:snapToGrid w:val="0"/>
          <w:color w:val="000000"/>
          <w:spacing w:val="-6"/>
          <w:shd w:val="clear" w:color="auto" w:fill="FFFFFF"/>
        </w:rPr>
        <w:t>问题，推动</w:t>
      </w:r>
      <w:r>
        <w:rPr>
          <w:rFonts w:hint="eastAsia" w:hAnsi="仿宋_GB2312" w:cs="仿宋_GB2312"/>
          <w:snapToGrid w:val="0"/>
          <w:color w:val="000000"/>
          <w:spacing w:val="-6"/>
          <w:shd w:val="clear" w:color="auto" w:fill="FFFFFF"/>
          <w:lang w:eastAsia="zh-CN"/>
        </w:rPr>
        <w:t>建立</w:t>
      </w:r>
      <w:r>
        <w:rPr>
          <w:rFonts w:hint="eastAsia" w:hAnsi="仿宋_GB2312" w:cs="仿宋_GB2312"/>
          <w:snapToGrid w:val="0"/>
          <w:color w:val="000000"/>
          <w:spacing w:val="-6"/>
          <w:shd w:val="clear" w:color="auto" w:fill="FFFFFF"/>
        </w:rPr>
        <w:t>长效机制，宣传曝光形成积极影响等内容。</w:t>
      </w:r>
    </w:p>
    <w:p>
      <w:pPr>
        <w:overflowPunct w:val="0"/>
        <w:adjustRightInd w:val="0"/>
        <w:snapToGrid w:val="0"/>
        <w:spacing w:line="570" w:lineRule="exact"/>
        <w:ind w:firstLine="641"/>
        <w:rPr>
          <w:rFonts w:ascii="Times New Roman" w:eastAsia="黑体"/>
          <w:snapToGrid w:val="0"/>
          <w:color w:val="000000"/>
          <w:spacing w:val="-6"/>
        </w:rPr>
      </w:pPr>
      <w:r>
        <w:rPr>
          <w:rFonts w:ascii="Times New Roman" w:eastAsia="楷体_GB2312"/>
          <w:snapToGrid w:val="0"/>
          <w:color w:val="000000"/>
          <w:spacing w:val="-6"/>
        </w:rPr>
        <w:t>（</w:t>
      </w:r>
      <w:r>
        <w:rPr>
          <w:rFonts w:hint="eastAsia" w:ascii="Times New Roman" w:eastAsia="楷体_GB2312"/>
          <w:snapToGrid w:val="0"/>
          <w:color w:val="000000"/>
          <w:spacing w:val="-6"/>
        </w:rPr>
        <w:t>四）拓展</w:t>
      </w:r>
      <w:r>
        <w:rPr>
          <w:rFonts w:ascii="Times New Roman" w:eastAsia="楷体_GB2312"/>
          <w:snapToGrid w:val="0"/>
          <w:color w:val="000000"/>
          <w:spacing w:val="-6"/>
        </w:rPr>
        <w:t>宣传</w:t>
      </w:r>
      <w:r>
        <w:rPr>
          <w:rFonts w:hint="eastAsia" w:ascii="Times New Roman" w:eastAsia="楷体_GB2312"/>
          <w:snapToGrid w:val="0"/>
          <w:color w:val="000000"/>
          <w:spacing w:val="-6"/>
        </w:rPr>
        <w:t>维度，巩固“铁拳”执法品牌</w:t>
      </w:r>
      <w:r>
        <w:rPr>
          <w:rFonts w:ascii="Times New Roman" w:eastAsia="楷体_GB2312"/>
          <w:snapToGrid w:val="0"/>
          <w:color w:val="000000"/>
          <w:spacing w:val="-6"/>
        </w:rPr>
        <w:t>。</w:t>
      </w:r>
      <w:r>
        <w:rPr>
          <w:rFonts w:hint="eastAsia" w:hAnsi="仿宋_GB2312" w:cs="仿宋_GB2312"/>
          <w:snapToGrid w:val="0"/>
          <w:color w:val="000000"/>
          <w:spacing w:val="-6"/>
          <w:shd w:val="clear" w:color="auto" w:fill="FFFFFF"/>
        </w:rPr>
        <w:t>加强宣传工作策划，通过“集中曝光日”“曝光台”，统一曝光典型案例。抓住重要时间节点，依托</w:t>
      </w:r>
      <w:r>
        <w:rPr>
          <w:rFonts w:hint="eastAsia" w:hAnsi="仿宋_GB2312" w:cs="仿宋_GB2312"/>
          <w:snapToGrid w:val="0"/>
          <w:color w:val="000000"/>
          <w:spacing w:val="-6"/>
        </w:rPr>
        <w:t>“3·15国际消费者权益日”</w:t>
      </w:r>
      <w:r>
        <w:rPr>
          <w:rFonts w:hint="eastAsia" w:hAnsi="仿宋_GB2312" w:cs="仿宋_GB2312"/>
          <w:snapToGrid w:val="0"/>
          <w:color w:val="000000"/>
          <w:spacing w:val="-6"/>
          <w:shd w:val="clear" w:color="auto" w:fill="FFFFFF"/>
        </w:rPr>
        <w:t>“世界知识产权日”“质量月”“食品安全宣传周”等，组织开展各类主题活动。在商标和专利代理、检验检测行业建立“业内专题曝光机制”，曝光违法企业，加大震慑力度。加强与媒体合作，打好案例曝光、跟踪报道、专家说案、以案释法组合拳，持续深化执法为民“铁拳”品牌。</w:t>
      </w:r>
    </w:p>
    <w:p>
      <w:pPr>
        <w:pStyle w:val="2"/>
        <w:overflowPunct w:val="0"/>
        <w:adjustRightInd w:val="0"/>
        <w:snapToGrid w:val="0"/>
        <w:spacing w:line="570" w:lineRule="exact"/>
        <w:ind w:firstLine="641"/>
        <w:rPr>
          <w:rFonts w:ascii="Times New Roman" w:eastAsia="黑体"/>
          <w:snapToGrid w:val="0"/>
          <w:color w:val="000000"/>
          <w:spacing w:val="-6"/>
        </w:rPr>
      </w:pPr>
      <w:r>
        <w:rPr>
          <w:rFonts w:ascii="Times New Roman" w:eastAsia="黑体"/>
          <w:snapToGrid w:val="0"/>
          <w:color w:val="000000"/>
          <w:spacing w:val="-6"/>
        </w:rPr>
        <w:t>四、工作要求</w:t>
      </w:r>
    </w:p>
    <w:p>
      <w:pPr>
        <w:pStyle w:val="2"/>
        <w:overflowPunct w:val="0"/>
        <w:adjustRightInd w:val="0"/>
        <w:snapToGrid w:val="0"/>
        <w:spacing w:line="570" w:lineRule="exact"/>
        <w:ind w:firstLine="641"/>
        <w:rPr>
          <w:rFonts w:hAnsi="仿宋_GB2312" w:cs="仿宋_GB2312"/>
          <w:snapToGrid w:val="0"/>
          <w:color w:val="000000"/>
          <w:spacing w:val="-6"/>
        </w:rPr>
      </w:pPr>
      <w:r>
        <w:rPr>
          <w:rFonts w:ascii="Times New Roman" w:eastAsia="楷体_GB2312"/>
          <w:snapToGrid w:val="0"/>
          <w:color w:val="000000"/>
          <w:spacing w:val="-6"/>
        </w:rPr>
        <w:t>（一）</w:t>
      </w:r>
      <w:r>
        <w:rPr>
          <w:rFonts w:hint="eastAsia" w:ascii="Times New Roman" w:eastAsia="楷体_GB2312"/>
          <w:snapToGrid w:val="0"/>
          <w:color w:val="000000"/>
          <w:spacing w:val="-6"/>
        </w:rPr>
        <w:t>加强组织领导，统筹协调部署。</w:t>
      </w:r>
      <w:r>
        <w:rPr>
          <w:rFonts w:hint="eastAsia" w:hAnsi="仿宋_GB2312" w:cs="仿宋_GB2312"/>
          <w:snapToGrid w:val="0"/>
          <w:color w:val="000000"/>
          <w:spacing w:val="-6"/>
        </w:rPr>
        <w:t>积极发挥“铁拳”机制综合协调、牵引拉动、高效协同优势，将相关重大专项执法任务有机纳入“铁拳”行动统筹开</w:t>
      </w:r>
      <w:r>
        <w:rPr>
          <w:rFonts w:hint="eastAsia" w:hAnsi="仿宋_GB2312" w:cs="仿宋_GB2312"/>
          <w:snapToGrid w:val="0"/>
          <w:color w:val="000000"/>
          <w:spacing w:val="-6"/>
          <w:shd w:val="clear" w:color="auto" w:fill="FFFFFF"/>
        </w:rPr>
        <w:t>展。</w:t>
      </w:r>
      <w:r>
        <w:rPr>
          <w:rFonts w:hint="eastAsia" w:hAnsi="仿宋_GB2312" w:cs="仿宋_GB2312"/>
          <w:snapToGrid w:val="0"/>
          <w:color w:val="000000"/>
          <w:spacing w:val="-6"/>
          <w:shd w:val="clear" w:color="auto" w:fill="FFFFFF"/>
          <w:lang w:val="en-US" w:eastAsia="zh-CN"/>
        </w:rPr>
        <w:t>各科室、所</w:t>
      </w:r>
      <w:r>
        <w:rPr>
          <w:rFonts w:hint="eastAsia" w:hAnsi="仿宋_GB2312" w:cs="仿宋_GB2312"/>
          <w:snapToGrid w:val="0"/>
          <w:color w:val="000000"/>
          <w:spacing w:val="-6"/>
          <w:shd w:val="clear" w:color="auto" w:fill="FFFFFF"/>
        </w:rPr>
        <w:t>要细化“铁拳”行动措施，制定包含案件查办、制度建设、宣传曝光等内容的预期</w:t>
      </w:r>
      <w:r>
        <w:rPr>
          <w:rFonts w:hint="eastAsia" w:hAnsi="仿宋_GB2312" w:cs="仿宋_GB2312"/>
          <w:snapToGrid w:val="0"/>
          <w:color w:val="000000"/>
          <w:spacing w:val="-6"/>
        </w:rPr>
        <w:t>成果清单，逐项抓好落实。局将对各</w:t>
      </w:r>
      <w:r>
        <w:rPr>
          <w:rFonts w:hint="eastAsia" w:hAnsi="仿宋_GB2312" w:cs="仿宋_GB2312"/>
          <w:snapToGrid w:val="0"/>
          <w:color w:val="000000"/>
          <w:spacing w:val="-6"/>
          <w:lang w:val="en-US" w:eastAsia="zh-CN"/>
        </w:rPr>
        <w:t>科室、所</w:t>
      </w:r>
      <w:r>
        <w:rPr>
          <w:rFonts w:hint="eastAsia" w:ascii="Times New Roman"/>
          <w:snapToGrid w:val="0"/>
          <w:color w:val="000000"/>
          <w:spacing w:val="-6"/>
          <w:shd w:val="clear" w:color="auto" w:fill="FFFFFF"/>
        </w:rPr>
        <w:t>“铁拳”行动工作开展情况进行指导，</w:t>
      </w:r>
      <w:r>
        <w:rPr>
          <w:rFonts w:hint="eastAsia" w:hAnsi="仿宋_GB2312" w:cs="仿宋_GB2312"/>
          <w:snapToGrid w:val="0"/>
          <w:color w:val="000000"/>
          <w:spacing w:val="-6"/>
        </w:rPr>
        <w:t>对重大活动予以支持，重大案件实施督办</w:t>
      </w:r>
      <w:r>
        <w:rPr>
          <w:rFonts w:hAnsi="仿宋_GB2312" w:cs="仿宋_GB2312"/>
          <w:snapToGrid w:val="0"/>
          <w:color w:val="000000"/>
          <w:spacing w:val="-6"/>
        </w:rPr>
        <w:t>。</w:t>
      </w:r>
    </w:p>
    <w:p>
      <w:pPr>
        <w:pStyle w:val="2"/>
        <w:overflowPunct w:val="0"/>
        <w:adjustRightInd w:val="0"/>
        <w:snapToGrid w:val="0"/>
        <w:spacing w:line="570" w:lineRule="exact"/>
        <w:ind w:firstLine="640"/>
        <w:rPr>
          <w:rFonts w:hAnsi="仿宋_GB2312" w:cs="仿宋_GB2312"/>
          <w:snapToGrid w:val="0"/>
          <w:color w:val="000000"/>
          <w:spacing w:val="-6"/>
          <w:shd w:val="clear" w:color="auto" w:fill="FFFFFF"/>
        </w:rPr>
      </w:pPr>
      <w:r>
        <w:rPr>
          <w:rFonts w:ascii="Times New Roman" w:eastAsia="楷体_GB2312"/>
          <w:snapToGrid w:val="0"/>
          <w:color w:val="000000"/>
          <w:spacing w:val="-6"/>
        </w:rPr>
        <w:t>（</w:t>
      </w:r>
      <w:r>
        <w:rPr>
          <w:rFonts w:hint="eastAsia" w:ascii="Times New Roman" w:eastAsia="楷体_GB2312"/>
          <w:snapToGrid w:val="0"/>
          <w:color w:val="000000"/>
          <w:spacing w:val="-6"/>
        </w:rPr>
        <w:t>二</w:t>
      </w:r>
      <w:r>
        <w:rPr>
          <w:rFonts w:ascii="Times New Roman" w:eastAsia="楷体_GB2312"/>
          <w:snapToGrid w:val="0"/>
          <w:color w:val="000000"/>
          <w:spacing w:val="-6"/>
        </w:rPr>
        <w:t>）</w:t>
      </w:r>
      <w:r>
        <w:rPr>
          <w:rFonts w:hint="eastAsia" w:ascii="Times New Roman" w:eastAsia="楷体_GB2312"/>
          <w:snapToGrid w:val="0"/>
          <w:color w:val="000000"/>
          <w:spacing w:val="-6"/>
        </w:rPr>
        <w:t>坚持</w:t>
      </w:r>
      <w:r>
        <w:rPr>
          <w:rFonts w:ascii="Times New Roman" w:eastAsia="楷体_GB2312"/>
          <w:snapToGrid w:val="0"/>
          <w:color w:val="000000"/>
          <w:spacing w:val="-6"/>
        </w:rPr>
        <w:t>宽严相济，</w:t>
      </w:r>
      <w:r>
        <w:rPr>
          <w:rFonts w:hint="eastAsia" w:ascii="Times New Roman" w:eastAsia="楷体_GB2312"/>
          <w:snapToGrid w:val="0"/>
          <w:color w:val="000000"/>
          <w:spacing w:val="-6"/>
        </w:rPr>
        <w:t>提升执法效果</w:t>
      </w:r>
      <w:r>
        <w:rPr>
          <w:rFonts w:hint="eastAsia" w:hAnsi="仿宋_GB2312" w:cs="仿宋_GB2312"/>
          <w:snapToGrid w:val="0"/>
          <w:color w:val="000000"/>
          <w:spacing w:val="-6"/>
          <w:shd w:val="clear" w:color="auto" w:fill="FFFFFF"/>
        </w:rPr>
        <w:t>。对于群众反映强烈、突破道德底线、造成严重后果的突出问题，要严惩重处、绝不姑息；对于非主观故意并及时纠正、违法行为轻微、没有造成危害后果或主动消除、减轻危害的，要依法从轻或者减轻、免除处罚；对于食品安全、小微主体等容易引发争议的领域，综合考虑社会心态、公众情绪，以及违法行为性质、情节、社会危害程度、当事人承受能力等因素</w:t>
      </w:r>
      <w:r>
        <w:rPr>
          <w:rFonts w:hint="eastAsia" w:hAnsi="仿宋_GB2312" w:cs="仿宋_GB2312"/>
          <w:snapToGrid w:val="0"/>
          <w:color w:val="000000"/>
          <w:spacing w:val="-6"/>
          <w:shd w:val="clear" w:color="auto" w:fill="FFFFFF"/>
          <w:lang w:eastAsia="zh-CN"/>
        </w:rPr>
        <w:t>，</w:t>
      </w:r>
      <w:r>
        <w:rPr>
          <w:rFonts w:hint="eastAsia" w:hAnsi="仿宋_GB2312" w:cs="仿宋_GB2312"/>
          <w:snapToGrid w:val="0"/>
          <w:color w:val="000000"/>
          <w:spacing w:val="-6"/>
          <w:shd w:val="clear" w:color="auto" w:fill="FFFFFF"/>
        </w:rPr>
        <w:t xml:space="preserve"> 科学确定处罚方式和处罚额度。</w:t>
      </w:r>
    </w:p>
    <w:p>
      <w:pPr>
        <w:overflowPunct w:val="0"/>
        <w:adjustRightInd w:val="0"/>
        <w:snapToGrid w:val="0"/>
        <w:spacing w:line="570" w:lineRule="exact"/>
        <w:ind w:firstLine="640"/>
        <w:rPr>
          <w:rFonts w:hint="eastAsia" w:hAnsi="仿宋_GB2312" w:cs="仿宋_GB2312"/>
          <w:snapToGrid w:val="0"/>
          <w:color w:val="000000"/>
          <w:spacing w:val="-6"/>
          <w:shd w:val="clear" w:color="auto" w:fill="FFFFFF"/>
        </w:rPr>
      </w:pPr>
      <w:r>
        <w:rPr>
          <w:rFonts w:ascii="Times New Roman" w:eastAsia="楷体_GB2312"/>
          <w:snapToGrid w:val="0"/>
          <w:color w:val="000000"/>
          <w:spacing w:val="-6"/>
        </w:rPr>
        <w:t>（三）做好信息报送，</w:t>
      </w:r>
      <w:r>
        <w:rPr>
          <w:rFonts w:hint="eastAsia" w:eastAsia="楷体_GB2312"/>
          <w:snapToGrid w:val="0"/>
          <w:color w:val="000000"/>
          <w:spacing w:val="-6"/>
        </w:rPr>
        <w:t>推动工作落实</w:t>
      </w:r>
      <w:r>
        <w:rPr>
          <w:rFonts w:ascii="Times New Roman" w:eastAsia="楷体_GB2312"/>
          <w:snapToGrid w:val="0"/>
          <w:color w:val="000000"/>
          <w:spacing w:val="-6"/>
        </w:rPr>
        <w:t>。</w:t>
      </w:r>
      <w:r>
        <w:rPr>
          <w:rFonts w:hint="eastAsia" w:hAnsi="仿宋_GB2312" w:cs="仿宋_GB2312"/>
          <w:snapToGrid w:val="0"/>
          <w:color w:val="000000"/>
          <w:spacing w:val="-6"/>
          <w:shd w:val="clear" w:color="auto" w:fill="FFFFFF"/>
        </w:rPr>
        <w:t>按照市场监管总局要求，自3月起，</w:t>
      </w:r>
      <w:r>
        <w:rPr>
          <w:rFonts w:hint="eastAsia" w:hAnsi="仿宋_GB2312" w:cs="仿宋_GB2312"/>
          <w:snapToGrid w:val="0"/>
          <w:color w:val="000000"/>
          <w:spacing w:val="-6"/>
          <w:shd w:val="clear" w:color="auto" w:fill="FFFFFF"/>
          <w:lang w:val="en-US" w:eastAsia="zh-CN"/>
        </w:rPr>
        <w:t>各科室、所</w:t>
      </w:r>
      <w:r>
        <w:rPr>
          <w:rFonts w:hint="eastAsia" w:hAnsi="仿宋_GB2312" w:cs="仿宋_GB2312"/>
          <w:snapToGrid w:val="0"/>
          <w:color w:val="000000"/>
          <w:spacing w:val="-6"/>
          <w:shd w:val="clear" w:color="auto" w:fill="FFFFFF"/>
        </w:rPr>
        <w:t>每月</w:t>
      </w:r>
      <w:r>
        <w:rPr>
          <w:rFonts w:hint="eastAsia" w:hAnsi="仿宋_GB2312" w:cs="仿宋_GB2312"/>
          <w:snapToGrid w:val="0"/>
          <w:color w:val="000000"/>
          <w:spacing w:val="-6"/>
          <w:shd w:val="clear" w:color="auto" w:fill="FFFFFF"/>
          <w:lang w:val="en-US" w:eastAsia="zh-CN"/>
        </w:rPr>
        <w:t>27日</w:t>
      </w:r>
      <w:r>
        <w:rPr>
          <w:rFonts w:hint="eastAsia" w:hAnsi="仿宋_GB2312" w:cs="仿宋_GB2312"/>
          <w:snapToGrid w:val="0"/>
          <w:color w:val="000000"/>
          <w:spacing w:val="-6"/>
          <w:shd w:val="clear" w:color="auto" w:fill="FFFFFF"/>
        </w:rPr>
        <w:t>前报送本月典型案件（填写附件4、5），有重大影响的案件及需要</w:t>
      </w:r>
      <w:r>
        <w:rPr>
          <w:rFonts w:hint="eastAsia" w:hAnsi="仿宋_GB2312" w:cs="仿宋_GB2312"/>
          <w:snapToGrid w:val="0"/>
          <w:color w:val="000000"/>
          <w:spacing w:val="-6"/>
          <w:shd w:val="clear" w:color="auto" w:fill="FFFFFF"/>
          <w:lang w:val="en-US" w:eastAsia="zh-CN"/>
        </w:rPr>
        <w:t>市</w:t>
      </w:r>
      <w:r>
        <w:rPr>
          <w:rFonts w:hint="eastAsia" w:hAnsi="仿宋_GB2312" w:cs="仿宋_GB2312"/>
          <w:snapToGrid w:val="0"/>
          <w:color w:val="000000"/>
          <w:spacing w:val="-6"/>
          <w:shd w:val="clear" w:color="auto" w:fill="FFFFFF"/>
        </w:rPr>
        <w:t>局协调办理的案件线索可随时报送。3月</w:t>
      </w:r>
      <w:r>
        <w:rPr>
          <w:rFonts w:hint="eastAsia" w:hAnsi="仿宋_GB2312" w:cs="仿宋_GB2312"/>
          <w:snapToGrid w:val="0"/>
          <w:color w:val="000000"/>
          <w:spacing w:val="-6"/>
          <w:shd w:val="clear" w:color="auto" w:fill="FFFFFF"/>
          <w:lang w:val="en-US" w:eastAsia="zh-CN"/>
        </w:rPr>
        <w:t>26</w:t>
      </w:r>
      <w:r>
        <w:rPr>
          <w:rFonts w:hint="eastAsia" w:hAnsi="仿宋_GB2312" w:cs="仿宋_GB2312"/>
          <w:snapToGrid w:val="0"/>
          <w:color w:val="000000"/>
          <w:spacing w:val="-6"/>
          <w:shd w:val="clear" w:color="auto" w:fill="FFFFFF"/>
        </w:rPr>
        <w:t>日、6月</w:t>
      </w:r>
      <w:r>
        <w:rPr>
          <w:rFonts w:hint="eastAsia" w:hAnsi="仿宋_GB2312" w:cs="仿宋_GB2312"/>
          <w:snapToGrid w:val="0"/>
          <w:color w:val="000000"/>
          <w:spacing w:val="-6"/>
          <w:shd w:val="clear" w:color="auto" w:fill="FFFFFF"/>
          <w:lang w:val="en-US" w:eastAsia="zh-CN"/>
        </w:rPr>
        <w:t>26</w:t>
      </w:r>
      <w:r>
        <w:rPr>
          <w:rFonts w:hint="eastAsia" w:hAnsi="仿宋_GB2312" w:cs="仿宋_GB2312"/>
          <w:snapToGrid w:val="0"/>
          <w:color w:val="000000"/>
          <w:spacing w:val="-6"/>
          <w:shd w:val="clear" w:color="auto" w:fill="FFFFFF"/>
        </w:rPr>
        <w:t>日、8月</w:t>
      </w:r>
      <w:r>
        <w:rPr>
          <w:rFonts w:hint="eastAsia" w:hAnsi="仿宋_GB2312" w:cs="仿宋_GB2312"/>
          <w:snapToGrid w:val="0"/>
          <w:color w:val="000000"/>
          <w:spacing w:val="-6"/>
          <w:shd w:val="clear" w:color="auto" w:fill="FFFFFF"/>
          <w:lang w:val="en-US" w:eastAsia="zh-CN"/>
        </w:rPr>
        <w:t>24</w:t>
      </w:r>
      <w:r>
        <w:rPr>
          <w:rFonts w:hint="eastAsia" w:hAnsi="仿宋_GB2312" w:cs="仿宋_GB2312"/>
          <w:snapToGrid w:val="0"/>
          <w:color w:val="000000"/>
          <w:spacing w:val="-6"/>
          <w:shd w:val="clear" w:color="auto" w:fill="FFFFFF"/>
        </w:rPr>
        <w:t>日前，分别报送一季度、上半年、前三季度案件查办数据（填写附件6），12月</w:t>
      </w:r>
      <w:r>
        <w:rPr>
          <w:rFonts w:hint="eastAsia" w:hAnsi="仿宋_GB2312" w:cs="仿宋_GB2312"/>
          <w:snapToGrid w:val="0"/>
          <w:color w:val="000000"/>
          <w:spacing w:val="-6"/>
          <w:shd w:val="clear" w:color="auto" w:fill="FFFFFF"/>
          <w:lang w:val="en-US" w:eastAsia="zh-CN"/>
        </w:rPr>
        <w:t>2</w:t>
      </w:r>
      <w:r>
        <w:rPr>
          <w:rFonts w:hint="eastAsia" w:hAnsi="仿宋_GB2312" w:cs="仿宋_GB2312"/>
          <w:snapToGrid w:val="0"/>
          <w:color w:val="000000"/>
          <w:spacing w:val="-6"/>
          <w:shd w:val="clear" w:color="auto" w:fill="FFFFFF"/>
        </w:rPr>
        <w:t>日前，报送年度工作总结和全年相关数据（填写附件6）。工作取得突出成绩，可随时报送。</w:t>
      </w:r>
    </w:p>
    <w:p>
      <w:pPr>
        <w:overflowPunct w:val="0"/>
        <w:adjustRightInd w:val="0"/>
        <w:snapToGrid w:val="0"/>
        <w:spacing w:line="480" w:lineRule="auto"/>
        <w:ind w:firstLine="616" w:firstLineChars="200"/>
        <w:rPr>
          <w:rFonts w:hint="eastAsia" w:hAnsi="仿宋_GB2312" w:cs="仿宋_GB2312"/>
          <w:snapToGrid w:val="0"/>
          <w:color w:val="000000" w:themeColor="text1"/>
          <w:spacing w:val="-6"/>
          <w:shd w:val="clear" w:color="auto" w:fill="FFFFFF"/>
          <w:lang w:eastAsia="zh-CN"/>
        </w:rPr>
      </w:pPr>
    </w:p>
    <w:p>
      <w:pPr>
        <w:overflowPunct w:val="0"/>
        <w:adjustRightInd w:val="0"/>
        <w:snapToGrid w:val="0"/>
        <w:spacing w:line="480" w:lineRule="auto"/>
        <w:ind w:firstLine="616" w:firstLineChars="200"/>
        <w:rPr>
          <w:rFonts w:hint="eastAsia" w:hAnsi="仿宋_GB2312" w:cs="仿宋_GB2312"/>
          <w:snapToGrid w:val="0"/>
          <w:color w:val="000000"/>
          <w:spacing w:val="-6"/>
          <w:shd w:val="clear" w:color="auto" w:fill="FFFFFF"/>
        </w:rPr>
      </w:pPr>
      <w:r>
        <w:rPr>
          <w:rFonts w:hint="eastAsia" w:hAnsi="仿宋_GB2312" w:cs="仿宋_GB2312"/>
          <w:snapToGrid w:val="0"/>
          <w:color w:val="000000" w:themeColor="text1"/>
          <w:spacing w:val="-6"/>
          <w:shd w:val="clear" w:color="auto" w:fill="FFFFFF"/>
          <w:lang w:eastAsia="zh-CN"/>
        </w:rPr>
        <w:t>联系人：</w:t>
      </w:r>
      <w:r>
        <w:rPr>
          <w:rFonts w:hint="eastAsia" w:hAnsi="仿宋_GB2312" w:cs="仿宋_GB2312"/>
          <w:snapToGrid w:val="0"/>
          <w:color w:val="000000" w:themeColor="text1"/>
          <w:spacing w:val="-6"/>
          <w:shd w:val="clear" w:color="auto" w:fill="FFFFFF"/>
          <w:lang w:val="en-US" w:eastAsia="zh-CN"/>
        </w:rPr>
        <w:t xml:space="preserve">许明升   </w:t>
      </w:r>
      <w:r>
        <w:rPr>
          <w:rFonts w:hint="eastAsia" w:hAnsi="仿宋_GB2312" w:cs="仿宋_GB2312"/>
          <w:snapToGrid w:val="0"/>
          <w:color w:val="000000" w:themeColor="text1"/>
          <w:spacing w:val="-6"/>
          <w:shd w:val="clear" w:color="auto" w:fill="FFFFFF"/>
          <w:lang w:eastAsia="zh-CN"/>
        </w:rPr>
        <w:t>电话：</w:t>
      </w:r>
      <w:r>
        <w:rPr>
          <w:rFonts w:hint="eastAsia" w:hAnsi="仿宋_GB2312" w:cs="仿宋_GB2312"/>
          <w:snapToGrid w:val="0"/>
          <w:color w:val="000000" w:themeColor="text1"/>
          <w:spacing w:val="-6"/>
          <w:shd w:val="clear" w:color="auto" w:fill="FFFFFF"/>
          <w:lang w:val="en-US" w:eastAsia="zh-CN"/>
        </w:rPr>
        <w:t xml:space="preserve">8690168   </w:t>
      </w:r>
      <w:r>
        <w:rPr>
          <w:rFonts w:hint="eastAsia" w:hAnsi="仿宋_GB2312" w:cs="仿宋_GB2312"/>
          <w:snapToGrid w:val="0"/>
          <w:color w:val="000000" w:themeColor="text1"/>
          <w:spacing w:val="-6"/>
          <w:shd w:val="clear" w:color="auto" w:fill="FFFFFF"/>
        </w:rPr>
        <w:t>邮箱：zzgxqxzsp</w:t>
      </w:r>
      <w:r>
        <w:rPr>
          <w:rFonts w:hint="eastAsia" w:hAnsi="仿宋_GB2312" w:cs="仿宋_GB2312"/>
          <w:snapToGrid w:val="0"/>
          <w:color w:val="000000" w:themeColor="text1"/>
          <w:spacing w:val="-6"/>
          <w:shd w:val="clear" w:color="auto" w:fill="FFFFFF"/>
          <w:lang w:val="en-US" w:eastAsia="zh-CN"/>
        </w:rPr>
        <w:t>@</w:t>
      </w:r>
      <w:r>
        <w:rPr>
          <w:rFonts w:hint="eastAsia" w:hAnsi="仿宋_GB2312" w:cs="仿宋_GB2312"/>
          <w:snapToGrid w:val="0"/>
          <w:color w:val="000000" w:themeColor="text1"/>
          <w:spacing w:val="-6"/>
          <w:shd w:val="clear" w:color="auto" w:fill="FFFFFF"/>
        </w:rPr>
        <w:t>163.com</w:t>
      </w:r>
    </w:p>
    <w:p>
      <w:pPr>
        <w:overflowPunct w:val="0"/>
        <w:adjustRightInd w:val="0"/>
        <w:snapToGrid w:val="0"/>
        <w:spacing w:line="570" w:lineRule="exact"/>
        <w:ind w:firstLine="616" w:firstLineChars="200"/>
        <w:rPr>
          <w:rFonts w:hint="eastAsia" w:hAnsi="仿宋_GB2312" w:cs="仿宋_GB2312"/>
          <w:snapToGrid w:val="0"/>
          <w:color w:val="000000"/>
          <w:spacing w:val="-6"/>
          <w:shd w:val="clear" w:color="auto" w:fill="FFFFFF"/>
        </w:rPr>
      </w:pPr>
    </w:p>
    <w:p>
      <w:pPr>
        <w:overflowPunct w:val="0"/>
        <w:adjustRightInd w:val="0"/>
        <w:snapToGrid w:val="0"/>
        <w:spacing w:line="570" w:lineRule="exact"/>
        <w:ind w:firstLine="616" w:firstLineChars="200"/>
        <w:rPr>
          <w:rFonts w:hint="eastAsia"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附件：</w:t>
      </w:r>
    </w:p>
    <w:p>
      <w:pPr>
        <w:overflowPunct w:val="0"/>
        <w:adjustRightInd w:val="0"/>
        <w:snapToGrid w:val="0"/>
        <w:spacing w:line="570" w:lineRule="exact"/>
        <w:ind w:left="1280" w:leftChars="400" w:firstLine="0" w:firstLineChars="0"/>
        <w:rPr>
          <w:rFonts w:hint="eastAsia" w:hAnsi="仿宋_GB2312" w:eastAsia="仿宋_GB2312" w:cs="仿宋_GB2312"/>
          <w:snapToGrid w:val="0"/>
          <w:color w:val="000000"/>
          <w:spacing w:val="-6"/>
          <w:shd w:val="clear" w:color="auto" w:fill="FFFFFF"/>
          <w:lang w:eastAsia="zh-CN"/>
        </w:rPr>
      </w:pPr>
      <w:r>
        <w:rPr>
          <w:rFonts w:hint="eastAsia" w:hAnsi="仿宋_GB2312" w:cs="仿宋_GB2312"/>
          <w:snapToGrid w:val="0"/>
          <w:color w:val="000000"/>
          <w:spacing w:val="-6"/>
          <w:shd w:val="clear" w:color="auto" w:fill="FFFFFF"/>
        </w:rPr>
        <w:t>1.</w:t>
      </w:r>
      <w:r>
        <w:rPr>
          <w:rFonts w:hint="eastAsia" w:hAnsi="仿宋_GB2312" w:cs="仿宋_GB2312"/>
          <w:snapToGrid w:val="0"/>
          <w:color w:val="000000"/>
          <w:spacing w:val="-6"/>
          <w:shd w:val="clear" w:color="auto" w:fill="FFFFFF"/>
          <w:lang w:val="en-US" w:eastAsia="zh-CN"/>
        </w:rPr>
        <w:t>枣庄高新区行政审批局</w:t>
      </w:r>
      <w:r>
        <w:rPr>
          <w:rFonts w:hint="eastAsia" w:hAnsi="仿宋_GB2312" w:cs="仿宋_GB2312"/>
          <w:snapToGrid w:val="0"/>
          <w:color w:val="000000"/>
          <w:spacing w:val="-6"/>
          <w:shd w:val="clear" w:color="auto" w:fill="FFFFFF"/>
        </w:rPr>
        <w:t>2024民生领域案件查办“铁拳”行动领导小组及职责</w:t>
      </w:r>
    </w:p>
    <w:p>
      <w:pPr>
        <w:overflowPunct w:val="0"/>
        <w:adjustRightInd w:val="0"/>
        <w:snapToGrid w:val="0"/>
        <w:spacing w:line="570" w:lineRule="exact"/>
        <w:ind w:left="1280" w:leftChars="400" w:firstLine="0" w:firstLineChars="0"/>
        <w:rPr>
          <w:rFonts w:hint="eastAsia" w:hAnsi="仿宋_GB2312" w:eastAsia="仿宋_GB2312" w:cs="仿宋_GB2312"/>
          <w:snapToGrid w:val="0"/>
          <w:color w:val="000000"/>
          <w:spacing w:val="-6"/>
          <w:shd w:val="clear" w:color="auto" w:fill="FFFFFF"/>
          <w:lang w:eastAsia="zh-CN"/>
        </w:rPr>
      </w:pPr>
      <w:r>
        <w:rPr>
          <w:rFonts w:hint="eastAsia" w:hAnsi="仿宋_GB2312" w:cs="仿宋_GB2312"/>
          <w:snapToGrid w:val="0"/>
          <w:color w:val="000000"/>
          <w:spacing w:val="-6"/>
          <w:shd w:val="clear" w:color="auto" w:fill="FFFFFF"/>
        </w:rPr>
        <w:t>2.2024民生领域案件查办“铁拳”行动业务指导专家及联系人制度</w:t>
      </w:r>
    </w:p>
    <w:p>
      <w:pPr>
        <w:overflowPunct w:val="0"/>
        <w:adjustRightInd w:val="0"/>
        <w:snapToGrid w:val="0"/>
        <w:spacing w:line="570" w:lineRule="exact"/>
        <w:ind w:left="1280" w:leftChars="400" w:firstLine="0" w:firstLineChars="0"/>
        <w:rPr>
          <w:rFonts w:hint="eastAsia" w:hAnsi="仿宋_GB2312" w:eastAsia="仿宋_GB2312" w:cs="仿宋_GB2312"/>
          <w:snapToGrid w:val="0"/>
          <w:color w:val="000000"/>
          <w:spacing w:val="-6"/>
          <w:shd w:val="clear" w:color="auto" w:fill="FFFFFF"/>
          <w:lang w:eastAsia="zh-CN"/>
        </w:rPr>
      </w:pPr>
      <w:r>
        <w:rPr>
          <w:rFonts w:hint="eastAsia" w:hAnsi="仿宋_GB2312" w:cs="仿宋_GB2312"/>
          <w:snapToGrid w:val="0"/>
          <w:color w:val="000000"/>
          <w:spacing w:val="-6"/>
          <w:shd w:val="clear" w:color="auto" w:fill="FFFFFF"/>
        </w:rPr>
        <w:t>3.2024民生领域案件查办“铁拳”行动重点违法行为查处方案</w:t>
      </w:r>
    </w:p>
    <w:p>
      <w:pPr>
        <w:overflowPunct w:val="0"/>
        <w:adjustRightInd w:val="0"/>
        <w:snapToGrid w:val="0"/>
        <w:spacing w:line="570" w:lineRule="exact"/>
        <w:ind w:firstLine="1232" w:firstLineChars="400"/>
        <w:rPr>
          <w:rFonts w:hAnsi="仿宋_GB2312" w:cs="仿宋_GB2312"/>
          <w:snapToGrid w:val="0"/>
          <w:color w:val="000000"/>
          <w:spacing w:val="-6"/>
          <w:shd w:val="clear" w:color="auto" w:fill="FFFFFF"/>
        </w:rPr>
      </w:pPr>
      <w:r>
        <w:rPr>
          <w:rFonts w:hint="eastAsia" w:hAnsi="仿宋_GB2312" w:cs="仿宋_GB2312"/>
          <w:snapToGrid w:val="0"/>
          <w:color w:val="000000"/>
          <w:spacing w:val="-6"/>
          <w:shd w:val="clear" w:color="auto" w:fill="FFFFFF"/>
        </w:rPr>
        <w:t>4.2024民生领域案件查办“铁拳”行动典型案件报送目录</w:t>
      </w:r>
    </w:p>
    <w:p>
      <w:pPr>
        <w:overflowPunct w:val="0"/>
        <w:adjustRightInd w:val="0"/>
        <w:snapToGrid w:val="0"/>
        <w:spacing w:line="240" w:lineRule="auto"/>
        <w:ind w:left="1280" w:leftChars="400" w:firstLine="0" w:firstLineChars="0"/>
        <w:rPr>
          <w:rFonts w:hint="eastAsia" w:hAnsi="仿宋_GB2312" w:eastAsia="仿宋_GB2312" w:cs="仿宋_GB2312"/>
          <w:snapToGrid w:val="0"/>
          <w:color w:val="000000"/>
          <w:spacing w:val="-6"/>
          <w:shd w:val="clear" w:color="auto" w:fill="FFFFFF"/>
          <w:lang w:eastAsia="zh-CN"/>
        </w:rPr>
      </w:pPr>
      <w:r>
        <w:rPr>
          <w:rFonts w:hint="eastAsia" w:hAnsi="仿宋_GB2312" w:cs="仿宋_GB2312"/>
          <w:snapToGrid w:val="0"/>
          <w:color w:val="000000"/>
          <w:spacing w:val="-6"/>
          <w:shd w:val="clear" w:color="auto" w:fill="FFFFFF"/>
        </w:rPr>
        <w:t>5.典型案件报送信息表</w:t>
      </w:r>
    </w:p>
    <w:p>
      <w:pPr>
        <w:overflowPunct w:val="0"/>
        <w:adjustRightInd w:val="0"/>
        <w:snapToGrid w:val="0"/>
        <w:spacing w:line="240" w:lineRule="auto"/>
        <w:ind w:left="1280" w:leftChars="400" w:firstLine="0" w:firstLineChars="0"/>
        <w:rPr>
          <w:rFonts w:hint="eastAsia" w:hAnsi="仿宋_GB2312" w:eastAsia="仿宋_GB2312" w:cs="仿宋_GB2312"/>
          <w:snapToGrid w:val="0"/>
          <w:color w:val="000000"/>
          <w:spacing w:val="-6"/>
          <w:shd w:val="clear" w:color="auto" w:fill="FFFFFF"/>
          <w:lang w:eastAsia="zh-CN"/>
        </w:rPr>
      </w:pPr>
      <w:r>
        <w:rPr>
          <w:rFonts w:hint="eastAsia" w:hAnsi="仿宋_GB2312" w:cs="仿宋_GB2312"/>
          <w:snapToGrid w:val="0"/>
          <w:color w:val="000000"/>
          <w:spacing w:val="-6"/>
          <w:shd w:val="clear" w:color="auto" w:fill="FFFFFF"/>
        </w:rPr>
        <w:t>6.2024民生领域案件查办“铁拳”行动重点案件查办情况表</w:t>
      </w:r>
    </w:p>
    <w:p>
      <w:pPr>
        <w:overflowPunct w:val="0"/>
        <w:adjustRightInd w:val="0"/>
        <w:snapToGrid w:val="0"/>
        <w:spacing w:line="570" w:lineRule="exact"/>
        <w:rPr>
          <w:rFonts w:ascii="黑体" w:hAnsi="黑体" w:eastAsia="黑体" w:cs="仿宋_GB2312"/>
        </w:rPr>
      </w:pPr>
      <w:r>
        <w:rPr>
          <w:rFonts w:hint="eastAsia" w:ascii="黑体" w:hAnsi="黑体" w:eastAsia="黑体" w:cs="仿宋_GB2312"/>
        </w:rPr>
        <w:br w:type="page"/>
      </w:r>
    </w:p>
    <w:p>
      <w:pPr>
        <w:overflowPunct w:val="0"/>
        <w:adjustRightInd w:val="0"/>
        <w:snapToGrid w:val="0"/>
        <w:spacing w:line="570" w:lineRule="exact"/>
        <w:rPr>
          <w:rFonts w:ascii="黑体" w:hAnsi="黑体" w:eastAsia="黑体" w:cs="仿宋_GB2312"/>
        </w:rPr>
      </w:pPr>
      <w:r>
        <w:rPr>
          <w:rFonts w:hint="eastAsia" w:ascii="黑体" w:hAnsi="黑体" w:eastAsia="黑体" w:cs="仿宋_GB2312"/>
        </w:rPr>
        <w:t>附件1</w:t>
      </w:r>
    </w:p>
    <w:p>
      <w:pPr>
        <w:spacing w:line="570" w:lineRule="exact"/>
        <w:rPr>
          <w:rFonts w:hAnsi="仿宋_GB2312" w:cs="仿宋_GB2312"/>
        </w:rPr>
      </w:pPr>
    </w:p>
    <w:p>
      <w:pPr>
        <w:spacing w:line="63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val="en-US" w:eastAsia="zh-CN"/>
        </w:rPr>
        <w:t>枣庄高新区行政审批局</w:t>
      </w:r>
    </w:p>
    <w:p>
      <w:pPr>
        <w:spacing w:line="63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2024民生领域案件查办“铁拳”行动领导</w:t>
      </w:r>
    </w:p>
    <w:p>
      <w:pPr>
        <w:spacing w:line="63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小组及职责</w:t>
      </w:r>
    </w:p>
    <w:p>
      <w:pPr>
        <w:spacing w:line="570" w:lineRule="exact"/>
        <w:rPr>
          <w:rFonts w:hAnsi="仿宋_GB2312" w:cs="仿宋_GB2312"/>
        </w:rPr>
      </w:pPr>
    </w:p>
    <w:p>
      <w:pPr>
        <w:spacing w:line="570" w:lineRule="exact"/>
        <w:ind w:firstLine="640" w:firstLineChars="200"/>
        <w:rPr>
          <w:rFonts w:hAnsi="仿宋_GB2312" w:cs="仿宋_GB2312"/>
        </w:rPr>
      </w:pPr>
      <w:r>
        <w:rPr>
          <w:rFonts w:hint="eastAsia" w:hAnsi="仿宋_GB2312" w:cs="仿宋_GB2312"/>
        </w:rPr>
        <w:t>一、</w:t>
      </w:r>
      <w:r>
        <w:rPr>
          <w:rFonts w:hint="eastAsia" w:hAnsi="仿宋_GB2312" w:cs="仿宋_GB2312"/>
          <w:lang w:val="en-US" w:eastAsia="zh-CN"/>
        </w:rPr>
        <w:t>枣庄高新区行政审批</w:t>
      </w:r>
      <w:r>
        <w:rPr>
          <w:rFonts w:hint="eastAsia" w:hAnsi="仿宋_GB2312" w:cs="仿宋_GB2312"/>
        </w:rPr>
        <w:t>局“铁拳”行动领导小组组长由局主要领导担任，副组长由局分管领导担任，领导小组成员由局法制科、</w:t>
      </w:r>
      <w:r>
        <w:rPr>
          <w:rFonts w:hint="eastAsia" w:hAnsi="仿宋_GB2312" w:cs="仿宋_GB2312"/>
          <w:lang w:val="en-US" w:eastAsia="zh-CN"/>
        </w:rPr>
        <w:t>审批服务科、食药科、邮政快递管理科、综合科、质监科、监督管理科、安全生产监督管理科、兴仁市场监管所、兴城市场监管所、张范市场监管所</w:t>
      </w:r>
      <w:r>
        <w:rPr>
          <w:rFonts w:hint="eastAsia" w:hAnsi="仿宋_GB2312" w:cs="仿宋_GB2312"/>
        </w:rPr>
        <w:t>主要负责人担任。</w:t>
      </w:r>
    </w:p>
    <w:p>
      <w:pPr>
        <w:spacing w:line="570" w:lineRule="exact"/>
        <w:ind w:firstLine="640" w:firstLineChars="200"/>
        <w:rPr>
          <w:rFonts w:hAnsi="仿宋_GB2312" w:cs="仿宋_GB2312"/>
        </w:rPr>
      </w:pPr>
      <w:r>
        <w:rPr>
          <w:rFonts w:hint="eastAsia" w:hAnsi="仿宋_GB2312" w:cs="仿宋_GB2312"/>
        </w:rPr>
        <w:t>二、领导小组成员</w:t>
      </w:r>
      <w:r>
        <w:rPr>
          <w:rFonts w:hint="eastAsia" w:hAnsi="仿宋_GB2312" w:cs="仿宋_GB2312"/>
          <w:lang w:val="en-US" w:eastAsia="zh-CN"/>
        </w:rPr>
        <w:t>科室</w:t>
      </w:r>
      <w:r>
        <w:rPr>
          <w:rFonts w:hint="eastAsia" w:hAnsi="仿宋_GB2312" w:cs="仿宋_GB2312"/>
        </w:rPr>
        <w:t>负责研判本业务领域社会关注热点和突出问题，负责案件查办工作业务指导，会商研究重大疑难问题，做好相关</w:t>
      </w:r>
      <w:r>
        <w:rPr>
          <w:rFonts w:hint="eastAsia" w:hAnsi="仿宋_GB2312" w:cs="仿宋_GB2312"/>
          <w:lang w:val="en-US" w:eastAsia="zh-CN"/>
        </w:rPr>
        <w:t>业务</w:t>
      </w:r>
      <w:r>
        <w:rPr>
          <w:rFonts w:hint="eastAsia" w:hAnsi="仿宋_GB2312" w:cs="仿宋_GB2312"/>
        </w:rPr>
        <w:t>工作。</w:t>
      </w:r>
    </w:p>
    <w:p>
      <w:pPr>
        <w:spacing w:line="570" w:lineRule="exact"/>
        <w:ind w:firstLine="640" w:firstLineChars="200"/>
        <w:rPr>
          <w:rFonts w:ascii="黑体" w:hAnsi="黑体" w:eastAsia="黑体" w:cs="黑体"/>
        </w:rPr>
      </w:pPr>
      <w:r>
        <w:rPr>
          <w:rFonts w:hint="eastAsia" w:hAnsi="仿宋_GB2312" w:cs="仿宋_GB2312"/>
        </w:rPr>
        <w:t>三、领导</w:t>
      </w:r>
      <w:r>
        <w:rPr>
          <w:rFonts w:hAnsi="仿宋_GB2312" w:cs="仿宋_GB2312"/>
        </w:rPr>
        <w:t>小组办公室</w:t>
      </w:r>
      <w:r>
        <w:rPr>
          <w:rFonts w:hint="eastAsia" w:hAnsi="仿宋_GB2312" w:cs="仿宋_GB2312"/>
        </w:rPr>
        <w:t>设在</w:t>
      </w:r>
      <w:r>
        <w:rPr>
          <w:rFonts w:hint="eastAsia" w:hAnsi="仿宋_GB2312" w:cs="仿宋_GB2312"/>
          <w:lang w:val="en-US" w:eastAsia="zh-CN"/>
        </w:rPr>
        <w:t>法制科</w:t>
      </w:r>
      <w:r>
        <w:rPr>
          <w:rFonts w:hint="eastAsia" w:hAnsi="仿宋_GB2312" w:cs="仿宋_GB2312"/>
        </w:rPr>
        <w:t>。负责“铁拳”行动文件起草、组织协调工作。组织成员单位对各地工作开展情况实施督导督办。负责案件查办信息数据的收集、统计、报送，以及典型案例的审核发布工作，会同</w:t>
      </w:r>
      <w:r>
        <w:rPr>
          <w:rFonts w:hint="eastAsia" w:hAnsi="仿宋_GB2312" w:cs="仿宋_GB2312"/>
          <w:lang w:val="en-US" w:eastAsia="zh-CN"/>
        </w:rPr>
        <w:t>各相关业务科室、所</w:t>
      </w:r>
      <w:r>
        <w:rPr>
          <w:rFonts w:hint="eastAsia" w:hAnsi="仿宋_GB2312" w:cs="仿宋_GB2312"/>
        </w:rPr>
        <w:t>组织开展系列宣传活动。</w:t>
      </w:r>
    </w:p>
    <w:p>
      <w:pPr>
        <w:pStyle w:val="11"/>
        <w:spacing w:line="570" w:lineRule="exact"/>
        <w:ind w:firstLine="0" w:firstLineChars="0"/>
        <w:rPr>
          <w:rFonts w:ascii="黑体" w:hAnsi="黑体" w:eastAsia="黑体" w:cs="黑体"/>
        </w:rPr>
      </w:pPr>
    </w:p>
    <w:p>
      <w:pPr>
        <w:pStyle w:val="11"/>
        <w:spacing w:line="570" w:lineRule="exact"/>
        <w:ind w:firstLine="0" w:firstLineChars="0"/>
        <w:rPr>
          <w:rFonts w:ascii="黑体" w:hAnsi="黑体" w:eastAsia="黑体" w:cs="黑体"/>
        </w:rPr>
      </w:pPr>
    </w:p>
    <w:p>
      <w:pPr>
        <w:pStyle w:val="11"/>
        <w:spacing w:line="570" w:lineRule="exact"/>
        <w:ind w:firstLine="0" w:firstLineChars="0"/>
        <w:rPr>
          <w:rFonts w:ascii="黑体" w:hAnsi="黑体" w:eastAsia="黑体" w:cs="黑体"/>
        </w:rPr>
      </w:pPr>
    </w:p>
    <w:p>
      <w:pPr>
        <w:pStyle w:val="11"/>
        <w:spacing w:line="570" w:lineRule="exact"/>
        <w:ind w:firstLine="0" w:firstLineChars="0"/>
        <w:rPr>
          <w:rFonts w:hint="eastAsia" w:ascii="黑体" w:hAnsi="黑体" w:eastAsia="黑体" w:cs="黑体"/>
          <w:highlight w:val="yellow"/>
        </w:rPr>
      </w:pPr>
    </w:p>
    <w:p>
      <w:pPr>
        <w:pStyle w:val="11"/>
        <w:spacing w:line="570" w:lineRule="exact"/>
        <w:ind w:firstLine="0" w:firstLineChars="0"/>
        <w:rPr>
          <w:rFonts w:ascii="黑体" w:hAnsi="黑体" w:eastAsia="黑体" w:cs="黑体"/>
          <w:highlight w:val="none"/>
        </w:rPr>
      </w:pPr>
      <w:r>
        <w:rPr>
          <w:rFonts w:hint="eastAsia" w:ascii="黑体" w:hAnsi="黑体" w:eastAsia="黑体" w:cs="黑体"/>
          <w:highlight w:val="none"/>
        </w:rPr>
        <w:t>附件2</w:t>
      </w:r>
    </w:p>
    <w:p>
      <w:pPr>
        <w:pStyle w:val="11"/>
        <w:spacing w:line="570" w:lineRule="exact"/>
        <w:ind w:firstLine="0" w:firstLineChars="0"/>
        <w:jc w:val="center"/>
        <w:rPr>
          <w:rFonts w:ascii="方正小标宋简体" w:hAnsi="方正小标宋简体" w:eastAsia="方正小标宋简体" w:cs="方正小标宋简体"/>
        </w:rPr>
      </w:pPr>
    </w:p>
    <w:p>
      <w:pPr>
        <w:adjustRightInd w:val="0"/>
        <w:snapToGrid w:val="0"/>
        <w:spacing w:line="6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2024民生领域案件查办“铁拳”行动</w:t>
      </w:r>
    </w:p>
    <w:p>
      <w:pPr>
        <w:adjustRightInd w:val="0"/>
        <w:snapToGrid w:val="0"/>
        <w:spacing w:line="6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业务指导专家及</w:t>
      </w:r>
      <w:r>
        <w:rPr>
          <w:rFonts w:ascii="方正小标宋简体" w:hAnsi="方正小标宋简体" w:eastAsia="方正小标宋简体" w:cs="方正小标宋简体"/>
          <w:sz w:val="44"/>
          <w:szCs w:val="44"/>
        </w:rPr>
        <w:t>联系人制度</w:t>
      </w:r>
    </w:p>
    <w:p>
      <w:pPr>
        <w:adjustRightInd w:val="0"/>
        <w:snapToGrid w:val="0"/>
        <w:spacing w:line="570" w:lineRule="exact"/>
        <w:ind w:firstLine="640" w:firstLineChars="200"/>
        <w:rPr>
          <w:rFonts w:ascii="仿宋" w:hAnsi="仿宋" w:eastAsia="仿宋"/>
        </w:rPr>
      </w:pPr>
    </w:p>
    <w:p>
      <w:pPr>
        <w:adjustRightInd w:val="0"/>
        <w:snapToGrid w:val="0"/>
        <w:spacing w:line="570" w:lineRule="exact"/>
        <w:ind w:firstLine="640" w:firstLineChars="200"/>
        <w:rPr>
          <w:rFonts w:hAnsi="仿宋_GB2312" w:cs="仿宋_GB2312"/>
        </w:rPr>
      </w:pPr>
      <w:r>
        <w:rPr>
          <w:rFonts w:hint="eastAsia" w:hAnsi="仿宋_GB2312" w:cs="仿宋_GB2312"/>
        </w:rPr>
        <w:t>为贯彻落实</w:t>
      </w:r>
      <w:r>
        <w:rPr>
          <w:rFonts w:hint="eastAsia" w:hAnsi="仿宋_GB2312" w:cs="仿宋_GB2312"/>
          <w:lang w:val="en-US" w:eastAsia="zh-CN"/>
        </w:rPr>
        <w:t>市</w:t>
      </w:r>
      <w:r>
        <w:rPr>
          <w:rFonts w:hint="eastAsia" w:hAnsi="仿宋_GB2312" w:cs="仿宋_GB2312"/>
        </w:rPr>
        <w:t>市场监管局2024民生领域案件查办“铁拳”行动部署要求，推进“铁拳”行动走深走实，决定进一步健全“铁拳”行动业务指导专家及联系人制度。</w:t>
      </w:r>
    </w:p>
    <w:p>
      <w:pPr>
        <w:adjustRightInd w:val="0"/>
        <w:snapToGrid w:val="0"/>
        <w:spacing w:line="570" w:lineRule="exact"/>
        <w:ind w:firstLine="640" w:firstLineChars="200"/>
        <w:rPr>
          <w:rFonts w:ascii="黑体" w:hAnsi="黑体" w:eastAsia="黑体"/>
        </w:rPr>
      </w:pPr>
      <w:r>
        <w:rPr>
          <w:rFonts w:hint="eastAsia" w:ascii="黑体" w:hAnsi="黑体" w:eastAsia="黑体"/>
        </w:rPr>
        <w:t>一</w:t>
      </w:r>
      <w:r>
        <w:rPr>
          <w:rFonts w:ascii="黑体" w:hAnsi="黑体" w:eastAsia="黑体"/>
        </w:rPr>
        <w:t>、</w:t>
      </w:r>
      <w:r>
        <w:rPr>
          <w:rFonts w:hint="eastAsia" w:ascii="黑体" w:hAnsi="黑体" w:eastAsia="黑体"/>
          <w:lang w:val="en-US" w:eastAsia="zh-CN"/>
        </w:rPr>
        <w:t>高新区行政审批局</w:t>
      </w:r>
      <w:r>
        <w:rPr>
          <w:rFonts w:hint="eastAsia" w:ascii="黑体" w:hAnsi="黑体" w:eastAsia="黑体"/>
        </w:rPr>
        <w:t>“铁拳”行动业务指导专家主要任务</w:t>
      </w:r>
    </w:p>
    <w:p>
      <w:pPr>
        <w:adjustRightInd w:val="0"/>
        <w:snapToGrid w:val="0"/>
        <w:spacing w:line="570" w:lineRule="exact"/>
        <w:ind w:firstLine="640" w:firstLineChars="200"/>
        <w:rPr>
          <w:rFonts w:hAnsi="仿宋_GB2312" w:cs="仿宋_GB2312"/>
        </w:rPr>
      </w:pPr>
      <w:r>
        <w:rPr>
          <w:rFonts w:hint="eastAsia" w:hAnsi="仿宋_GB2312" w:cs="仿宋_GB2312"/>
        </w:rPr>
        <w:t>立足本科室职责，加强对本领域案件查办的协调指导；参加研讨会议，研判重要案件线索，会商解决执法办案中疑难复杂问题；根据需要，参加督查督导等活动。</w:t>
      </w:r>
    </w:p>
    <w:p>
      <w:pPr>
        <w:adjustRightInd w:val="0"/>
        <w:snapToGrid w:val="0"/>
        <w:spacing w:line="570" w:lineRule="exact"/>
        <w:ind w:firstLine="640" w:firstLineChars="200"/>
        <w:rPr>
          <w:rFonts w:ascii="黑体" w:hAnsi="黑体" w:eastAsia="黑体"/>
        </w:rPr>
      </w:pPr>
      <w:r>
        <w:rPr>
          <w:rFonts w:hint="eastAsia" w:ascii="黑体" w:hAnsi="黑体" w:eastAsia="黑体"/>
        </w:rPr>
        <w:t>二</w:t>
      </w:r>
      <w:r>
        <w:rPr>
          <w:rFonts w:ascii="黑体" w:hAnsi="黑体" w:eastAsia="黑体"/>
        </w:rPr>
        <w:t>、</w:t>
      </w:r>
      <w:r>
        <w:rPr>
          <w:rFonts w:hint="eastAsia" w:ascii="黑体" w:hAnsi="黑体" w:eastAsia="黑体"/>
          <w:lang w:val="en-US" w:eastAsia="zh-CN"/>
        </w:rPr>
        <w:t>高新区行政审批局</w:t>
      </w:r>
      <w:r>
        <w:rPr>
          <w:rFonts w:hint="eastAsia" w:ascii="黑体" w:hAnsi="黑体" w:eastAsia="黑体"/>
        </w:rPr>
        <w:t>“铁拳”行动联系人主要任务</w:t>
      </w:r>
    </w:p>
    <w:p>
      <w:pPr>
        <w:adjustRightInd w:val="0"/>
        <w:snapToGrid w:val="0"/>
        <w:spacing w:line="570" w:lineRule="exact"/>
        <w:ind w:firstLine="640" w:firstLineChars="200"/>
        <w:rPr>
          <w:rFonts w:hAnsi="仿宋_GB2312" w:cs="仿宋_GB2312"/>
        </w:rPr>
      </w:pPr>
      <w:r>
        <w:rPr>
          <w:rFonts w:hint="eastAsia" w:hAnsi="仿宋_GB2312" w:cs="仿宋_GB2312"/>
        </w:rPr>
        <w:t>及时通报本科室监督检查中发现的重要线索，协调做好本科室“铁拳”行动相关工作。</w:t>
      </w:r>
    </w:p>
    <w:p>
      <w:pPr>
        <w:adjustRightInd w:val="0"/>
        <w:snapToGrid w:val="0"/>
        <w:spacing w:line="570" w:lineRule="exact"/>
        <w:rPr>
          <w:rFonts w:hint="eastAsia" w:hAnsi="仿宋_GB2312" w:cs="仿宋_GB2312"/>
        </w:rPr>
      </w:pPr>
    </w:p>
    <w:p>
      <w:pPr>
        <w:adjustRightInd w:val="0"/>
        <w:snapToGrid w:val="0"/>
        <w:spacing w:line="570" w:lineRule="exact"/>
        <w:ind w:firstLine="640" w:firstLineChars="200"/>
        <w:rPr>
          <w:rFonts w:hint="eastAsia" w:hAnsi="仿宋_GB2312" w:cs="仿宋_GB2312"/>
        </w:rPr>
      </w:pPr>
      <w:r>
        <w:rPr>
          <w:rFonts w:hint="eastAsia" w:hAnsi="仿宋_GB2312" w:cs="仿宋_GB2312"/>
        </w:rPr>
        <w:t>名单附后。</w:t>
      </w:r>
    </w:p>
    <w:p>
      <w:pPr>
        <w:pStyle w:val="10"/>
        <w:ind w:left="0" w:leftChars="0" w:firstLine="0" w:firstLineChars="0"/>
        <w:rPr>
          <w:rFonts w:hint="eastAsia" w:hAnsi="仿宋_GB2312" w:cs="仿宋_GB2312"/>
        </w:rPr>
      </w:pPr>
    </w:p>
    <w:p>
      <w:pPr>
        <w:pStyle w:val="10"/>
        <w:ind w:left="0" w:leftChars="0" w:firstLine="0" w:firstLineChars="0"/>
        <w:rPr>
          <w:rFonts w:hint="eastAsia" w:hAnsi="仿宋_GB2312" w:cs="仿宋_GB2312"/>
        </w:rPr>
      </w:pPr>
    </w:p>
    <w:p>
      <w:pPr>
        <w:pStyle w:val="10"/>
        <w:ind w:left="0" w:leftChars="0" w:firstLine="0" w:firstLineChars="0"/>
        <w:rPr>
          <w:rFonts w:hint="eastAsia" w:hAnsi="仿宋_GB2312" w:cs="仿宋_GB2312"/>
        </w:rPr>
      </w:pPr>
    </w:p>
    <w:p>
      <w:pPr>
        <w:pStyle w:val="10"/>
        <w:ind w:left="0" w:leftChars="0" w:firstLine="0" w:firstLineChars="0"/>
        <w:rPr>
          <w:rFonts w:hint="eastAsia" w:hAnsi="仿宋_GB2312" w:cs="仿宋_GB2312"/>
        </w:rPr>
      </w:pPr>
    </w:p>
    <w:p>
      <w:pPr>
        <w:pStyle w:val="10"/>
        <w:ind w:left="0" w:leftChars="0" w:firstLine="0" w:firstLineChars="0"/>
        <w:rPr>
          <w:rFonts w:hint="eastAsia" w:hAnsi="仿宋_GB2312" w:cs="仿宋_GB2312"/>
        </w:rPr>
      </w:pPr>
    </w:p>
    <w:p>
      <w:pPr>
        <w:keepNext w:val="0"/>
        <w:keepLines w:val="0"/>
        <w:pageBreakBefore w:val="0"/>
        <w:kinsoku/>
        <w:wordWrap/>
        <w:overflowPunct/>
        <w:topLinePunct w:val="0"/>
        <w:bidi w:val="0"/>
        <w:spacing w:line="570" w:lineRule="exact"/>
        <w:ind w:right="0" w:rightChars="0"/>
        <w:jc w:val="center"/>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bidi w:val="0"/>
        <w:spacing w:line="570" w:lineRule="exact"/>
        <w:ind w:right="0" w:righ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枣庄高新区行政审批</w:t>
      </w:r>
      <w:r>
        <w:rPr>
          <w:rFonts w:hint="eastAsia" w:ascii="黑体" w:hAnsi="黑体" w:eastAsia="黑体" w:cs="黑体"/>
          <w:b w:val="0"/>
          <w:bCs w:val="0"/>
          <w:sz w:val="32"/>
          <w:szCs w:val="32"/>
        </w:rPr>
        <w:t>局“铁拳”行动业务指导专家名单</w:t>
      </w:r>
    </w:p>
    <w:tbl>
      <w:tblPr>
        <w:tblStyle w:val="8"/>
        <w:tblpPr w:leftFromText="180" w:rightFromText="180" w:vertAnchor="text" w:horzAnchor="page" w:tblpX="1404" w:tblpY="525"/>
        <w:tblOverlap w:val="never"/>
        <w:tblW w:w="9127" w:type="dxa"/>
        <w:jc w:val="center"/>
        <w:tblLayout w:type="fixed"/>
        <w:tblCellMar>
          <w:top w:w="0" w:type="dxa"/>
          <w:left w:w="108" w:type="dxa"/>
          <w:bottom w:w="0" w:type="dxa"/>
          <w:right w:w="108" w:type="dxa"/>
        </w:tblCellMar>
      </w:tblPr>
      <w:tblGrid>
        <w:gridCol w:w="2663"/>
        <w:gridCol w:w="2430"/>
        <w:gridCol w:w="2160"/>
        <w:gridCol w:w="1874"/>
      </w:tblGrid>
      <w:tr>
        <w:tblPrEx>
          <w:tblCellMar>
            <w:top w:w="0" w:type="dxa"/>
            <w:left w:w="108" w:type="dxa"/>
            <w:bottom w:w="0" w:type="dxa"/>
            <w:right w:w="108" w:type="dxa"/>
          </w:tblCellMar>
        </w:tblPrEx>
        <w:trPr>
          <w:cantSplit/>
          <w:trHeight w:val="660"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科室</w:t>
            </w:r>
          </w:p>
        </w:tc>
        <w:tc>
          <w:tcPr>
            <w:tcW w:w="24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业务指导专家</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职务</w:t>
            </w:r>
          </w:p>
        </w:tc>
        <w:tc>
          <w:tcPr>
            <w:tcW w:w="18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联系方式</w:t>
            </w:r>
          </w:p>
        </w:tc>
      </w:tr>
      <w:tr>
        <w:tblPrEx>
          <w:tblCellMar>
            <w:top w:w="0" w:type="dxa"/>
            <w:left w:w="108" w:type="dxa"/>
            <w:bottom w:w="0" w:type="dxa"/>
            <w:right w:w="108" w:type="dxa"/>
          </w:tblCellMar>
        </w:tblPrEx>
        <w:trPr>
          <w:cantSplit/>
          <w:trHeight w:val="737" w:hRule="atLeast"/>
          <w:jc w:val="center"/>
        </w:trPr>
        <w:tc>
          <w:tcPr>
            <w:tcW w:w="26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质监</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沈建军</w:t>
            </w:r>
          </w:p>
        </w:tc>
        <w:tc>
          <w:tcPr>
            <w:tcW w:w="2160" w:type="dxa"/>
            <w:tcBorders>
              <w:top w:val="nil"/>
              <w:left w:val="nil"/>
              <w:bottom w:val="single" w:color="auto" w:sz="4" w:space="0"/>
              <w:right w:val="single" w:color="auto" w:sz="4" w:space="0"/>
            </w:tcBorders>
            <w:noWrap w:val="0"/>
            <w:vAlign w:val="center"/>
          </w:tcPr>
          <w:p>
            <w:pPr>
              <w:widowControl/>
              <w:spacing w:line="620" w:lineRule="exact"/>
              <w:jc w:val="center"/>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资深主管</w:t>
            </w:r>
          </w:p>
        </w:tc>
        <w:tc>
          <w:tcPr>
            <w:tcW w:w="1874"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8690178</w:t>
            </w:r>
          </w:p>
        </w:tc>
      </w:tr>
      <w:tr>
        <w:tblPrEx>
          <w:tblCellMar>
            <w:top w:w="0" w:type="dxa"/>
            <w:left w:w="108" w:type="dxa"/>
            <w:bottom w:w="0" w:type="dxa"/>
            <w:right w:w="108" w:type="dxa"/>
          </w:tblCellMar>
        </w:tblPrEx>
        <w:trPr>
          <w:cantSplit/>
          <w:trHeight w:val="737" w:hRule="atLeast"/>
          <w:jc w:val="center"/>
        </w:trPr>
        <w:tc>
          <w:tcPr>
            <w:tcW w:w="26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食药</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许圣国</w:t>
            </w:r>
          </w:p>
        </w:tc>
        <w:tc>
          <w:tcPr>
            <w:tcW w:w="216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副局长</w:t>
            </w:r>
          </w:p>
        </w:tc>
        <w:tc>
          <w:tcPr>
            <w:tcW w:w="1874"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8690178</w:t>
            </w:r>
          </w:p>
        </w:tc>
      </w:tr>
      <w:tr>
        <w:tblPrEx>
          <w:tblCellMar>
            <w:top w:w="0" w:type="dxa"/>
            <w:left w:w="108" w:type="dxa"/>
            <w:bottom w:w="0" w:type="dxa"/>
            <w:right w:w="108" w:type="dxa"/>
          </w:tblCellMar>
        </w:tblPrEx>
        <w:trPr>
          <w:cantSplit/>
          <w:trHeight w:val="737"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法制</w:t>
            </w:r>
            <w:r>
              <w:rPr>
                <w:rFonts w:hint="eastAsia" w:ascii="仿宋_GB2312" w:hAnsi="仿宋_GB2312" w:eastAsia="仿宋_GB2312" w:cs="仿宋_GB2312"/>
                <w:color w:val="000000"/>
                <w:kern w:val="0"/>
                <w:sz w:val="32"/>
                <w:szCs w:val="32"/>
                <w:lang w:eastAsia="zh-CN"/>
              </w:rPr>
              <w:t>科</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潘  伟</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副局长</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8690226</w:t>
            </w:r>
          </w:p>
        </w:tc>
      </w:tr>
      <w:tr>
        <w:tblPrEx>
          <w:tblCellMar>
            <w:top w:w="0" w:type="dxa"/>
            <w:left w:w="108" w:type="dxa"/>
            <w:bottom w:w="0" w:type="dxa"/>
            <w:right w:w="108" w:type="dxa"/>
          </w:tblCellMar>
        </w:tblPrEx>
        <w:trPr>
          <w:cantSplit/>
          <w:trHeight w:val="737"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监督管理科</w:t>
            </w:r>
          </w:p>
        </w:tc>
        <w:tc>
          <w:tcPr>
            <w:tcW w:w="2430" w:type="dxa"/>
            <w:tcBorders>
              <w:top w:val="single" w:color="auto" w:sz="4" w:space="0"/>
              <w:left w:val="nil"/>
              <w:bottom w:val="single" w:color="auto" w:sz="4" w:space="0"/>
              <w:right w:val="single" w:color="auto" w:sz="4" w:space="0"/>
            </w:tcBorders>
            <w:noWrap w:val="0"/>
            <w:vAlign w:val="center"/>
          </w:tcPr>
          <w:p>
            <w:pPr>
              <w:widowControl/>
              <w:spacing w:line="620" w:lineRule="exact"/>
              <w:jc w:val="center"/>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胡  斌</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高级主管</w:t>
            </w:r>
          </w:p>
        </w:tc>
        <w:tc>
          <w:tcPr>
            <w:tcW w:w="1874" w:type="dxa"/>
            <w:tcBorders>
              <w:top w:val="single" w:color="auto" w:sz="4" w:space="0"/>
              <w:left w:val="nil"/>
              <w:bottom w:val="single" w:color="auto" w:sz="4" w:space="0"/>
              <w:right w:val="single" w:color="auto" w:sz="4" w:space="0"/>
            </w:tcBorders>
            <w:noWrap w:val="0"/>
            <w:vAlign w:val="center"/>
          </w:tcPr>
          <w:p>
            <w:pPr>
              <w:widowControl/>
              <w:spacing w:line="620" w:lineRule="exact"/>
              <w:jc w:val="center"/>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8690168</w:t>
            </w:r>
          </w:p>
        </w:tc>
      </w:tr>
    </w:tbl>
    <w:p>
      <w:pPr>
        <w:keepNext w:val="0"/>
        <w:keepLines w:val="0"/>
        <w:pageBreakBefore w:val="0"/>
        <w:kinsoku/>
        <w:wordWrap/>
        <w:overflowPunct/>
        <w:topLinePunct w:val="0"/>
        <w:bidi w:val="0"/>
        <w:spacing w:line="570" w:lineRule="exact"/>
        <w:ind w:right="0" w:rightChars="0"/>
        <w:jc w:val="cente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lang w:val="en-US" w:eastAsia="zh-CN"/>
        </w:rPr>
      </w:pPr>
    </w:p>
    <w:p>
      <w:pPr>
        <w:keepNext w:val="0"/>
        <w:keepLines w:val="0"/>
        <w:pageBreakBefore w:val="0"/>
        <w:kinsoku/>
        <w:wordWrap/>
        <w:overflowPunct/>
        <w:topLinePunct w:val="0"/>
        <w:bidi w:val="0"/>
        <w:spacing w:line="570" w:lineRule="exact"/>
        <w:ind w:right="0" w:right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枣庄高新区行政审批局“铁拳”行动联系人名单</w:t>
      </w:r>
    </w:p>
    <w:p>
      <w:pPr>
        <w:pStyle w:val="2"/>
        <w:jc w:val="center"/>
        <w:rPr>
          <w:rFonts w:hint="eastAsia" w:ascii="仿宋_GB2312" w:hAnsi="仿宋_GB2312" w:eastAsia="仿宋_GB2312" w:cs="仿宋_GB2312"/>
          <w:sz w:val="32"/>
          <w:szCs w:val="32"/>
        </w:rPr>
      </w:pPr>
    </w:p>
    <w:tbl>
      <w:tblPr>
        <w:tblStyle w:val="8"/>
        <w:tblpPr w:leftFromText="180" w:rightFromText="180" w:vertAnchor="text" w:tblpXSpec="center" w:tblpY="1"/>
        <w:tblOverlap w:val="never"/>
        <w:tblW w:w="9127" w:type="dxa"/>
        <w:tblInd w:w="0" w:type="dxa"/>
        <w:tblLayout w:type="fixed"/>
        <w:tblCellMar>
          <w:top w:w="0" w:type="dxa"/>
          <w:left w:w="108" w:type="dxa"/>
          <w:bottom w:w="0" w:type="dxa"/>
          <w:right w:w="108" w:type="dxa"/>
        </w:tblCellMar>
      </w:tblPr>
      <w:tblGrid>
        <w:gridCol w:w="2583"/>
        <w:gridCol w:w="2430"/>
        <w:gridCol w:w="2145"/>
        <w:gridCol w:w="1969"/>
      </w:tblGrid>
      <w:tr>
        <w:tblPrEx>
          <w:tblCellMar>
            <w:top w:w="0" w:type="dxa"/>
            <w:left w:w="108" w:type="dxa"/>
            <w:bottom w:w="0" w:type="dxa"/>
            <w:right w:w="108" w:type="dxa"/>
          </w:tblCellMar>
        </w:tblPrEx>
        <w:trPr>
          <w:cantSplit/>
          <w:trHeight w:val="680" w:hRule="exact"/>
        </w:trPr>
        <w:tc>
          <w:tcPr>
            <w:tcW w:w="2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科室</w:t>
            </w:r>
            <w:r>
              <w:rPr>
                <w:rFonts w:hint="eastAsia" w:ascii="仿宋_GB2312" w:hAnsi="仿宋_GB2312" w:eastAsia="仿宋_GB2312" w:cs="仿宋_GB2312"/>
                <w:color w:val="000000"/>
                <w:kern w:val="0"/>
                <w:sz w:val="32"/>
                <w:szCs w:val="32"/>
              </w:rPr>
              <w:t>、单位</w:t>
            </w:r>
          </w:p>
        </w:tc>
        <w:tc>
          <w:tcPr>
            <w:tcW w:w="24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联系人</w:t>
            </w:r>
          </w:p>
        </w:tc>
        <w:tc>
          <w:tcPr>
            <w:tcW w:w="21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职务</w:t>
            </w:r>
          </w:p>
        </w:tc>
        <w:tc>
          <w:tcPr>
            <w:tcW w:w="19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联系方式</w:t>
            </w:r>
          </w:p>
        </w:tc>
      </w:tr>
      <w:tr>
        <w:tblPrEx>
          <w:tblCellMar>
            <w:top w:w="0" w:type="dxa"/>
            <w:left w:w="108" w:type="dxa"/>
            <w:bottom w:w="0" w:type="dxa"/>
            <w:right w:w="108" w:type="dxa"/>
          </w:tblCellMar>
        </w:tblPrEx>
        <w:trPr>
          <w:cantSplit/>
          <w:trHeight w:val="680" w:hRule="exact"/>
        </w:trPr>
        <w:tc>
          <w:tcPr>
            <w:tcW w:w="25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质监</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胡军玲</w:t>
            </w:r>
          </w:p>
        </w:tc>
        <w:tc>
          <w:tcPr>
            <w:tcW w:w="214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科长</w:t>
            </w:r>
          </w:p>
        </w:tc>
        <w:tc>
          <w:tcPr>
            <w:tcW w:w="1969"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8682365</w:t>
            </w:r>
          </w:p>
        </w:tc>
      </w:tr>
      <w:tr>
        <w:tblPrEx>
          <w:tblCellMar>
            <w:top w:w="0" w:type="dxa"/>
            <w:left w:w="108" w:type="dxa"/>
            <w:bottom w:w="0" w:type="dxa"/>
            <w:right w:w="108" w:type="dxa"/>
          </w:tblCellMar>
        </w:tblPrEx>
        <w:trPr>
          <w:cantSplit/>
          <w:trHeight w:val="680" w:hRule="exact"/>
        </w:trPr>
        <w:tc>
          <w:tcPr>
            <w:tcW w:w="25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食药</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lang w:val="en-US" w:eastAsia="zh-CN"/>
              </w:rPr>
              <w:t>褚治廷</w:t>
            </w:r>
          </w:p>
        </w:tc>
        <w:tc>
          <w:tcPr>
            <w:tcW w:w="214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科长</w:t>
            </w:r>
          </w:p>
        </w:tc>
        <w:tc>
          <w:tcPr>
            <w:tcW w:w="1969"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8699315</w:t>
            </w:r>
          </w:p>
        </w:tc>
      </w:tr>
      <w:tr>
        <w:tblPrEx>
          <w:tblCellMar>
            <w:top w:w="0" w:type="dxa"/>
            <w:left w:w="108" w:type="dxa"/>
            <w:bottom w:w="0" w:type="dxa"/>
            <w:right w:w="108" w:type="dxa"/>
          </w:tblCellMar>
        </w:tblPrEx>
        <w:trPr>
          <w:cantSplit/>
          <w:trHeight w:val="680" w:hRule="exact"/>
        </w:trPr>
        <w:tc>
          <w:tcPr>
            <w:tcW w:w="25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监督管理科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auto"/>
                <w:kern w:val="0"/>
                <w:sz w:val="32"/>
                <w:szCs w:val="32"/>
                <w:u w:val="none"/>
                <w:lang w:val="en-US" w:eastAsia="zh-CN"/>
              </w:rPr>
              <w:t>洪  瑞</w:t>
            </w:r>
          </w:p>
        </w:tc>
        <w:tc>
          <w:tcPr>
            <w:tcW w:w="214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auto"/>
                <w:kern w:val="0"/>
                <w:sz w:val="32"/>
                <w:szCs w:val="32"/>
                <w:u w:val="none"/>
                <w:lang w:val="en-US" w:eastAsia="zh-CN"/>
              </w:rPr>
              <w:t>科长</w:t>
            </w:r>
          </w:p>
        </w:tc>
        <w:tc>
          <w:tcPr>
            <w:tcW w:w="1969"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auto"/>
                <w:kern w:val="0"/>
                <w:sz w:val="32"/>
                <w:szCs w:val="32"/>
                <w:u w:val="none"/>
                <w:lang w:val="en-US" w:eastAsia="zh-CN"/>
              </w:rPr>
              <w:t>8691315</w:t>
            </w:r>
          </w:p>
        </w:tc>
      </w:tr>
      <w:tr>
        <w:tblPrEx>
          <w:tblCellMar>
            <w:top w:w="0" w:type="dxa"/>
            <w:left w:w="108" w:type="dxa"/>
            <w:bottom w:w="0" w:type="dxa"/>
            <w:right w:w="108" w:type="dxa"/>
          </w:tblCellMar>
        </w:tblPrEx>
        <w:trPr>
          <w:cantSplit/>
          <w:trHeight w:val="680" w:hRule="exact"/>
        </w:trPr>
        <w:tc>
          <w:tcPr>
            <w:tcW w:w="25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ind w:right="0" w:rightChar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法制</w:t>
            </w:r>
            <w:r>
              <w:rPr>
                <w:rFonts w:hint="eastAsia" w:ascii="仿宋_GB2312" w:hAnsi="仿宋_GB2312" w:eastAsia="仿宋_GB2312" w:cs="仿宋_GB2312"/>
                <w:color w:val="000000"/>
                <w:kern w:val="0"/>
                <w:sz w:val="32"/>
                <w:szCs w:val="32"/>
                <w:lang w:eastAsia="zh-CN"/>
              </w:rPr>
              <w:t>科</w:t>
            </w:r>
          </w:p>
        </w:tc>
        <w:tc>
          <w:tcPr>
            <w:tcW w:w="2430"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李秋润</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科长</w:t>
            </w:r>
          </w:p>
        </w:tc>
        <w:tc>
          <w:tcPr>
            <w:tcW w:w="1969"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8690168</w:t>
            </w:r>
          </w:p>
        </w:tc>
      </w:tr>
    </w:tbl>
    <w:p>
      <w:pPr>
        <w:rPr>
          <w:rFonts w:hint="eastAsia"/>
          <w:lang w:val="en-US" w:eastAsia="zh-CN"/>
        </w:rPr>
        <w:sectPr>
          <w:footerReference r:id="rId3" w:type="default"/>
          <w:pgSz w:w="11906" w:h="16838"/>
          <w:pgMar w:top="1531" w:right="1531" w:bottom="1984" w:left="1531" w:header="851" w:footer="1417" w:gutter="0"/>
          <w:pgNumType w:fmt="numberInDash"/>
          <w:cols w:space="720" w:num="1"/>
          <w:rtlGutter w:val="0"/>
          <w:docGrid w:type="lines" w:linePitch="317" w:charSpace="0"/>
        </w:sectPr>
      </w:pPr>
    </w:p>
    <w:p>
      <w:pPr>
        <w:spacing w:line="570" w:lineRule="exact"/>
        <w:rPr>
          <w:rFonts w:ascii="黑体" w:hAnsi="黑体" w:eastAsia="黑体" w:cs="黑体"/>
        </w:rPr>
      </w:pPr>
      <w:r>
        <w:rPr>
          <w:rFonts w:hint="eastAsia" w:ascii="黑体" w:hAnsi="黑体" w:eastAsia="黑体" w:cs="黑体"/>
        </w:rPr>
        <w:t>附件3</w:t>
      </w:r>
    </w:p>
    <w:p>
      <w:pPr>
        <w:spacing w:line="630" w:lineRule="exact"/>
        <w:jc w:val="center"/>
        <w:rPr>
          <w:rFonts w:ascii="方正小标宋简体" w:hAnsi="方正小标宋简体" w:eastAsia="方正小标宋简体" w:cs="方正小标宋简体"/>
          <w:sz w:val="44"/>
          <w:szCs w:val="44"/>
        </w:rPr>
      </w:pPr>
    </w:p>
    <w:p>
      <w:pPr>
        <w:spacing w:line="6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2024民生领域案件查办“铁拳”行动</w:t>
      </w:r>
    </w:p>
    <w:p>
      <w:pPr>
        <w:spacing w:line="6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重点违法行为查处方案</w:t>
      </w:r>
    </w:p>
    <w:p>
      <w:pPr>
        <w:spacing w:line="570" w:lineRule="exact"/>
        <w:jc w:val="center"/>
        <w:rPr>
          <w:rFonts w:ascii="方正小标宋简体" w:hAnsi="方正小标宋简体" w:eastAsia="方正小标宋简体" w:cs="方正小标宋简体"/>
        </w:rPr>
      </w:pPr>
    </w:p>
    <w:p>
      <w:pPr>
        <w:spacing w:line="570" w:lineRule="exact"/>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一、生产销售劣质燃气具违法案件查处方案</w:t>
      </w:r>
    </w:p>
    <w:p>
      <w:pPr>
        <w:widowControl/>
        <w:spacing w:line="570" w:lineRule="exact"/>
        <w:jc w:val="left"/>
        <w:rPr>
          <w:rFonts w:ascii="CESI仿宋-GB2312" w:hAnsi="CESI仿宋-GB2312" w:eastAsia="CESI仿宋-GB2312" w:cs="CESI仿宋-GB2312"/>
          <w:color w:val="333333"/>
          <w:kern w:val="0"/>
        </w:rPr>
      </w:pPr>
    </w:p>
    <w:p>
      <w:pPr>
        <w:spacing w:line="570" w:lineRule="exact"/>
        <w:ind w:firstLine="640" w:firstLineChars="200"/>
      </w:pPr>
      <w:r>
        <w:rPr>
          <w:rFonts w:hint="eastAsia"/>
        </w:rPr>
        <w:t>近年来，一些燃气具厂家为抢占市场，追求利润，采用低劣零部件和不合格原材料生产组装燃气具，推出价低质劣的不合格产品，埋下严重的安全隐患。要切实加强燃气具质量的监管执法，严厉打击劣质燃气具。</w:t>
      </w:r>
    </w:p>
    <w:p>
      <w:pPr>
        <w:widowControl/>
        <w:spacing w:line="570" w:lineRule="exact"/>
        <w:ind w:firstLine="640" w:firstLineChars="200"/>
        <w:rPr>
          <w:rFonts w:ascii="CESI仿宋-GB2312" w:hAnsi="CESI仿宋-GB2312" w:eastAsia="CESI仿宋-GB2312" w:cs="CESI仿宋-GB2312"/>
          <w:color w:val="333333"/>
          <w:kern w:val="0"/>
        </w:rPr>
      </w:pPr>
      <w:r>
        <w:rPr>
          <w:rFonts w:hint="eastAsia" w:ascii="黑体" w:hAnsi="黑体" w:eastAsia="黑体" w:cs="黑体"/>
          <w:color w:val="333333"/>
          <w:kern w:val="0"/>
        </w:rPr>
        <w:t>一、查处重点</w:t>
      </w:r>
    </w:p>
    <w:p>
      <w:pPr>
        <w:spacing w:line="570" w:lineRule="exact"/>
        <w:ind w:firstLine="640" w:firstLineChars="200"/>
      </w:pPr>
      <w:r>
        <w:rPr>
          <w:rFonts w:hint="eastAsia"/>
        </w:rPr>
        <w:t>（一）严厉查处生产不符合国家标准要求的燃气具违法行为。</w:t>
      </w:r>
    </w:p>
    <w:p>
      <w:pPr>
        <w:spacing w:line="570" w:lineRule="exact"/>
        <w:ind w:firstLine="640" w:firstLineChars="200"/>
      </w:pPr>
      <w:r>
        <w:rPr>
          <w:rFonts w:hint="eastAsia"/>
        </w:rPr>
        <w:t>（二）严厉查处生产以次充好、以假充真、掺杂掺假或者以不合格冒充合格燃气具等违法行为。</w:t>
      </w:r>
    </w:p>
    <w:p>
      <w:pPr>
        <w:spacing w:line="570" w:lineRule="exact"/>
        <w:ind w:firstLine="640" w:firstLineChars="200"/>
      </w:pPr>
      <w:r>
        <w:rPr>
          <w:rFonts w:hint="eastAsia"/>
        </w:rPr>
        <w:t>（三）严厉查处伪造产地、伪造或者冒用厂名厂址、伪造或者冒用认证标志等质量标志的燃气具违法行为。</w:t>
      </w:r>
    </w:p>
    <w:p>
      <w:pPr>
        <w:spacing w:line="570" w:lineRule="exact"/>
        <w:ind w:firstLine="640" w:firstLineChars="200"/>
      </w:pPr>
      <w:r>
        <w:rPr>
          <w:rFonts w:hint="eastAsia"/>
        </w:rPr>
        <w:t>（四）严厉查处未取得3C认证，擅自出厂、销售家用燃气具，伪造、冒用、买卖认证证书等违法行为。</w:t>
      </w:r>
    </w:p>
    <w:p>
      <w:pPr>
        <w:widowControl/>
        <w:spacing w:line="570" w:lineRule="exact"/>
        <w:ind w:firstLine="640" w:firstLineChars="200"/>
        <w:rPr>
          <w:rFonts w:ascii="黑体" w:hAnsi="黑体" w:eastAsia="黑体" w:cs="黑体"/>
          <w:color w:val="333333"/>
          <w:kern w:val="0"/>
        </w:rPr>
      </w:pPr>
      <w:r>
        <w:rPr>
          <w:rFonts w:hint="eastAsia" w:ascii="黑体" w:hAnsi="黑体" w:eastAsia="黑体" w:cs="黑体"/>
          <w:color w:val="333333"/>
          <w:kern w:val="0"/>
        </w:rPr>
        <w:t>二、查处依据</w:t>
      </w:r>
    </w:p>
    <w:p>
      <w:pPr>
        <w:spacing w:line="570" w:lineRule="exact"/>
        <w:ind w:firstLine="640" w:firstLineChars="200"/>
      </w:pPr>
      <w:r>
        <w:rPr>
          <w:rFonts w:hint="eastAsia"/>
        </w:rPr>
        <w:t>（一）《产品质量法》第四十九条、第五十条、第五十一条、第五十三条、第五十四条等规定。</w:t>
      </w:r>
    </w:p>
    <w:p>
      <w:pPr>
        <w:spacing w:line="570" w:lineRule="exact"/>
        <w:ind w:firstLine="640" w:firstLineChars="200"/>
        <w:rPr>
          <w:spacing w:val="-6"/>
        </w:rPr>
      </w:pPr>
      <w:r>
        <w:rPr>
          <w:rFonts w:hint="eastAsia"/>
        </w:rPr>
        <w:t>（二）《</w:t>
      </w:r>
      <w:r>
        <w:rPr>
          <w:rFonts w:hint="eastAsia"/>
          <w:spacing w:val="-6"/>
        </w:rPr>
        <w:t>认证认可条例》第六十六条、第七十条等规定。</w:t>
      </w:r>
    </w:p>
    <w:p>
      <w:pPr>
        <w:spacing w:line="570" w:lineRule="exact"/>
        <w:ind w:firstLine="640" w:firstLineChars="200"/>
        <w:rPr>
          <w:spacing w:val="-6"/>
        </w:rPr>
      </w:pPr>
      <w:r>
        <w:rPr>
          <w:rFonts w:hint="eastAsia"/>
        </w:rPr>
        <w:t>（三）</w:t>
      </w:r>
      <w:r>
        <w:rPr>
          <w:rFonts w:hint="eastAsia"/>
          <w:spacing w:val="-6"/>
        </w:rPr>
        <w:t>《强制性产品认证管理规定》第四十九条等规定。</w:t>
      </w:r>
    </w:p>
    <w:p>
      <w:pPr>
        <w:widowControl/>
        <w:spacing w:line="570" w:lineRule="exact"/>
        <w:ind w:firstLine="640" w:firstLineChars="200"/>
        <w:rPr>
          <w:rFonts w:ascii="CESI仿宋-GB2312" w:hAnsi="CESI仿宋-GB2312" w:eastAsia="CESI仿宋-GB2312" w:cs="CESI仿宋-GB2312"/>
          <w:color w:val="333333"/>
          <w:kern w:val="0"/>
        </w:rPr>
      </w:pPr>
      <w:r>
        <w:rPr>
          <w:rFonts w:hint="eastAsia" w:ascii="黑体" w:hAnsi="黑体" w:eastAsia="黑体" w:cs="黑体"/>
          <w:color w:val="333333"/>
          <w:kern w:val="0"/>
        </w:rPr>
        <w:t>三、有关要求</w:t>
      </w:r>
    </w:p>
    <w:p>
      <w:pPr>
        <w:spacing w:line="570" w:lineRule="exact"/>
        <w:ind w:firstLine="640" w:firstLineChars="200"/>
      </w:pPr>
      <w:r>
        <w:rPr>
          <w:rFonts w:hint="eastAsia"/>
        </w:rPr>
        <w:t>（一）聚焦产业集中地、专业批发市场、城乡结合部销售市场（集市集散地、建材装饰市场），对发现的案件线索，加大查处力度，一查到底，涉嫌犯罪的及时</w:t>
      </w:r>
      <w:r>
        <w:rPr>
          <w:rFonts w:hint="eastAsia"/>
          <w:lang w:eastAsia="zh-CN"/>
        </w:rPr>
        <w:t>移交</w:t>
      </w:r>
      <w:r>
        <w:rPr>
          <w:rFonts w:hint="eastAsia"/>
        </w:rPr>
        <w:t>司法机关处理。</w:t>
      </w:r>
    </w:p>
    <w:p>
      <w:pPr>
        <w:spacing w:line="570" w:lineRule="exact"/>
        <w:ind w:firstLine="640" w:firstLineChars="200"/>
      </w:pPr>
      <w:r>
        <w:rPr>
          <w:rFonts w:hint="eastAsia"/>
        </w:rPr>
        <w:t>（二）加大系统内信息数据通报、搜集力度，落实属地查处，涉及外部门监管职责的及时通报，形成执法合力。</w:t>
      </w:r>
    </w:p>
    <w:p>
      <w:pPr>
        <w:spacing w:line="570" w:lineRule="exact"/>
      </w:pPr>
    </w:p>
    <w:p>
      <w:pPr>
        <w:autoSpaceDE w:val="0"/>
        <w:spacing w:line="570" w:lineRule="exact"/>
        <w:ind w:firstLine="360" w:firstLineChars="100"/>
        <w:jc w:val="center"/>
        <w:rPr>
          <w:rFonts w:eastAsia="方正小标宋简体"/>
          <w:color w:val="000000"/>
          <w:sz w:val="36"/>
          <w:szCs w:val="36"/>
        </w:rPr>
      </w:pPr>
      <w:r>
        <w:rPr>
          <w:rFonts w:hint="eastAsia" w:ascii="方正小标宋简体" w:hAnsi="方正小标宋简体" w:eastAsia="方正小标宋简体" w:cs="方正小标宋简体"/>
          <w:sz w:val="36"/>
          <w:szCs w:val="36"/>
        </w:rPr>
        <w:t>二、</w:t>
      </w:r>
      <w:r>
        <w:rPr>
          <w:rFonts w:hint="eastAsia" w:eastAsia="方正小标宋简体"/>
          <w:color w:val="000000"/>
          <w:sz w:val="36"/>
          <w:szCs w:val="36"/>
        </w:rPr>
        <w:t>生产销售劣质电动自行车案件查处方案</w:t>
      </w:r>
    </w:p>
    <w:p>
      <w:pPr>
        <w:autoSpaceDE w:val="0"/>
        <w:spacing w:line="570" w:lineRule="exact"/>
        <w:ind w:firstLine="616" w:firstLineChars="200"/>
        <w:rPr>
          <w:color w:val="000000"/>
          <w:spacing w:val="-6"/>
        </w:rPr>
      </w:pPr>
    </w:p>
    <w:p>
      <w:pPr>
        <w:autoSpaceDE w:val="0"/>
        <w:spacing w:line="570" w:lineRule="exact"/>
        <w:ind w:firstLine="616" w:firstLineChars="200"/>
        <w:rPr>
          <w:color w:val="000000"/>
          <w:spacing w:val="-6"/>
        </w:rPr>
      </w:pPr>
      <w:r>
        <w:rPr>
          <w:rFonts w:hint="eastAsia"/>
          <w:color w:val="000000"/>
          <w:spacing w:val="-6"/>
        </w:rPr>
        <w:t>电动自行车产品质量事关人民生命、财产安全，要切实加强生产销售电动自行车的监管，加大执法办案力度，对严重质量违法行为形成高压震慑。</w:t>
      </w:r>
    </w:p>
    <w:p>
      <w:pPr>
        <w:autoSpaceDE w:val="0"/>
        <w:spacing w:line="570" w:lineRule="exact"/>
        <w:ind w:firstLine="616" w:firstLineChars="200"/>
        <w:rPr>
          <w:rFonts w:eastAsia="黑体"/>
          <w:color w:val="000000"/>
          <w:spacing w:val="-6"/>
        </w:rPr>
      </w:pPr>
      <w:r>
        <w:rPr>
          <w:rFonts w:hint="eastAsia" w:hAnsi="黑体" w:eastAsia="黑体"/>
          <w:color w:val="000000"/>
          <w:spacing w:val="-6"/>
        </w:rPr>
        <w:t>一、查处重点</w:t>
      </w:r>
    </w:p>
    <w:p>
      <w:pPr>
        <w:autoSpaceDE w:val="0"/>
        <w:spacing w:line="570" w:lineRule="exact"/>
        <w:ind w:firstLine="616" w:firstLineChars="200"/>
        <w:rPr>
          <w:color w:val="000000"/>
          <w:spacing w:val="-6"/>
        </w:rPr>
      </w:pPr>
      <w:r>
        <w:rPr>
          <w:rFonts w:hint="eastAsia"/>
          <w:color w:val="000000"/>
          <w:spacing w:val="-6"/>
        </w:rPr>
        <w:t>（一）严厉查处以不合格产品冒充合格产品，以及伪造产地、伪造或者冒用他人厂名厂址、伪造或者冒用质量标志或商标等违法案件。</w:t>
      </w:r>
    </w:p>
    <w:p>
      <w:pPr>
        <w:autoSpaceDE w:val="0"/>
        <w:spacing w:line="570" w:lineRule="exact"/>
        <w:ind w:firstLine="616" w:firstLineChars="200"/>
        <w:rPr>
          <w:color w:val="000000"/>
          <w:spacing w:val="-6"/>
        </w:rPr>
      </w:pPr>
      <w:r>
        <w:rPr>
          <w:rFonts w:hint="eastAsia"/>
          <w:color w:val="000000"/>
          <w:spacing w:val="-6"/>
        </w:rPr>
        <w:t>（二）严厉查办一批未按规定要求取得强制性产品认证而擅自出厂、销售或者在其他经营活动中使用等违法案件。</w:t>
      </w:r>
    </w:p>
    <w:p>
      <w:pPr>
        <w:autoSpaceDE w:val="0"/>
        <w:spacing w:line="570" w:lineRule="exact"/>
        <w:ind w:firstLine="616" w:firstLineChars="200"/>
        <w:rPr>
          <w:color w:val="000000"/>
          <w:spacing w:val="-6"/>
        </w:rPr>
      </w:pPr>
      <w:r>
        <w:rPr>
          <w:rFonts w:hint="eastAsia"/>
          <w:color w:val="000000"/>
          <w:spacing w:val="-6"/>
        </w:rPr>
        <w:t>（三）根据有关部门通报或投诉举报，加强流通领域特别是城乡结合部和农村销售场所等重点区域执法力度。</w:t>
      </w:r>
    </w:p>
    <w:p>
      <w:pPr>
        <w:autoSpaceDE w:val="0"/>
        <w:spacing w:line="570" w:lineRule="exact"/>
        <w:ind w:firstLine="616" w:firstLineChars="200"/>
        <w:rPr>
          <w:rFonts w:eastAsia="黑体"/>
          <w:color w:val="000000"/>
          <w:spacing w:val="-6"/>
        </w:rPr>
      </w:pPr>
      <w:r>
        <w:rPr>
          <w:rFonts w:hint="eastAsia" w:hAnsi="黑体" w:eastAsia="黑体"/>
          <w:color w:val="000000"/>
          <w:spacing w:val="-6"/>
        </w:rPr>
        <w:t>二、查处依据</w:t>
      </w:r>
    </w:p>
    <w:p>
      <w:pPr>
        <w:autoSpaceDE w:val="0"/>
        <w:spacing w:line="570" w:lineRule="exact"/>
        <w:ind w:firstLine="616" w:firstLineChars="200"/>
        <w:rPr>
          <w:color w:val="000000"/>
          <w:spacing w:val="-6"/>
        </w:rPr>
      </w:pPr>
      <w:r>
        <w:rPr>
          <w:rFonts w:hint="eastAsia"/>
          <w:color w:val="000000"/>
          <w:spacing w:val="-6"/>
        </w:rPr>
        <w:t>（一）《产品质量法》第四十九条、第五十条、第五十三条。</w:t>
      </w:r>
    </w:p>
    <w:p>
      <w:pPr>
        <w:autoSpaceDE w:val="0"/>
        <w:spacing w:line="570" w:lineRule="exact"/>
        <w:ind w:firstLine="616" w:firstLineChars="200"/>
        <w:rPr>
          <w:rFonts w:eastAsia="楷体"/>
          <w:bCs/>
          <w:color w:val="000000"/>
          <w:spacing w:val="-6"/>
        </w:rPr>
      </w:pPr>
      <w:r>
        <w:rPr>
          <w:rFonts w:hint="eastAsia"/>
          <w:color w:val="000000"/>
          <w:spacing w:val="-6"/>
        </w:rPr>
        <w:t>（二）《认证认可条例》第六十六条。</w:t>
      </w:r>
    </w:p>
    <w:p>
      <w:pPr>
        <w:autoSpaceDE w:val="0"/>
        <w:spacing w:line="570" w:lineRule="exact"/>
        <w:ind w:firstLine="616" w:firstLineChars="200"/>
        <w:rPr>
          <w:rFonts w:hint="eastAsia"/>
          <w:color w:val="000000"/>
          <w:spacing w:val="-6"/>
        </w:rPr>
      </w:pPr>
      <w:r>
        <w:rPr>
          <w:rFonts w:hint="eastAsia"/>
          <w:color w:val="000000"/>
          <w:spacing w:val="-6"/>
        </w:rPr>
        <w:t>（三）《中华人民共和国商标法》第六十条。</w:t>
      </w:r>
    </w:p>
    <w:p>
      <w:pPr>
        <w:autoSpaceDE w:val="0"/>
        <w:spacing w:line="570" w:lineRule="exact"/>
        <w:ind w:firstLine="616" w:firstLineChars="200"/>
      </w:pPr>
      <w:r>
        <w:rPr>
          <w:rFonts w:hint="eastAsia" w:ascii="Calibri" w:hAnsi="Calibri"/>
          <w:color w:val="000000"/>
          <w:spacing w:val="-6"/>
        </w:rPr>
        <w:t>（四）《强制性产品认证管理规定》第四十九条等规定。</w:t>
      </w:r>
    </w:p>
    <w:p>
      <w:pPr>
        <w:autoSpaceDE w:val="0"/>
        <w:spacing w:line="570" w:lineRule="exact"/>
        <w:ind w:firstLine="616" w:firstLineChars="200"/>
        <w:rPr>
          <w:rFonts w:eastAsia="黑体"/>
          <w:color w:val="000000"/>
          <w:spacing w:val="-6"/>
        </w:rPr>
      </w:pPr>
      <w:r>
        <w:rPr>
          <w:rFonts w:hint="eastAsia" w:hAnsi="黑体" w:eastAsia="黑体"/>
          <w:color w:val="000000"/>
          <w:spacing w:val="-6"/>
        </w:rPr>
        <w:t>三、工作要求</w:t>
      </w:r>
    </w:p>
    <w:p>
      <w:pPr>
        <w:autoSpaceDE w:val="0"/>
        <w:spacing w:line="570" w:lineRule="exact"/>
        <w:ind w:firstLine="616" w:firstLineChars="200"/>
        <w:rPr>
          <w:color w:val="000000"/>
          <w:spacing w:val="-6"/>
        </w:rPr>
      </w:pPr>
      <w:r>
        <w:rPr>
          <w:rFonts w:hint="eastAsia" w:hAnsi="楷体_GB2312" w:eastAsia="楷体_GB2312"/>
          <w:color w:val="000000"/>
          <w:spacing w:val="-6"/>
        </w:rPr>
        <w:t>（一）加大大案要案办理。</w:t>
      </w:r>
      <w:r>
        <w:rPr>
          <w:rFonts w:hint="eastAsia"/>
          <w:color w:val="000000"/>
          <w:spacing w:val="-6"/>
        </w:rPr>
        <w:t>建立健全大案要案查办督办制度，对于发现生产、销售劣质电动自行车等典型质量违法行为，要切实加大案件查办力度，涉嫌犯罪的，坚决移送司法机关处理。</w:t>
      </w:r>
      <w:r>
        <w:rPr>
          <w:rFonts w:hint="eastAsia"/>
          <w:color w:val="000000"/>
        </w:rPr>
        <w:t>对制假</w:t>
      </w:r>
      <w:r>
        <w:rPr>
          <w:color w:val="000000"/>
        </w:rPr>
        <w:t>“</w:t>
      </w:r>
      <w:r>
        <w:rPr>
          <w:rFonts w:hint="eastAsia"/>
          <w:color w:val="000000"/>
        </w:rPr>
        <w:t>黑窝点</w:t>
      </w:r>
      <w:r>
        <w:rPr>
          <w:color w:val="000000"/>
        </w:rPr>
        <w:t>”</w:t>
      </w:r>
      <w:r>
        <w:rPr>
          <w:rFonts w:hint="eastAsia"/>
          <w:color w:val="000000"/>
        </w:rPr>
        <w:t>，要报请当地政府予以取缔。持续</w:t>
      </w:r>
      <w:r>
        <w:rPr>
          <w:rFonts w:hint="eastAsia"/>
          <w:color w:val="000000"/>
          <w:spacing w:val="-6"/>
        </w:rPr>
        <w:t>加大典型案件曝光力度，强力震慑违法犯罪行为。</w:t>
      </w:r>
    </w:p>
    <w:p>
      <w:pPr>
        <w:autoSpaceDE w:val="0"/>
        <w:spacing w:line="570" w:lineRule="exact"/>
        <w:ind w:firstLine="616" w:firstLineChars="200"/>
        <w:rPr>
          <w:color w:val="000000"/>
          <w:spacing w:val="-6"/>
        </w:rPr>
      </w:pPr>
      <w:r>
        <w:rPr>
          <w:rFonts w:hint="eastAsia" w:hAnsi="楷体_GB2312" w:eastAsia="楷体_GB2312"/>
          <w:color w:val="000000"/>
          <w:spacing w:val="-6"/>
        </w:rPr>
        <w:t>（二）充分发挥社会监督作用。</w:t>
      </w:r>
      <w:r>
        <w:rPr>
          <w:rFonts w:hint="eastAsia"/>
          <w:color w:val="000000"/>
          <w:spacing w:val="-6"/>
        </w:rPr>
        <w:t>畅通消费者维权渠道，高度重视</w:t>
      </w:r>
      <w:r>
        <w:rPr>
          <w:color w:val="000000"/>
          <w:spacing w:val="-6"/>
        </w:rPr>
        <w:t>12345</w:t>
      </w:r>
      <w:r>
        <w:rPr>
          <w:rFonts w:hint="eastAsia"/>
          <w:bCs/>
          <w:color w:val="000000"/>
        </w:rPr>
        <w:t>热线、局长信箱</w:t>
      </w:r>
      <w:r>
        <w:rPr>
          <w:rFonts w:hint="eastAsia"/>
          <w:color w:val="000000"/>
          <w:spacing w:val="-6"/>
        </w:rPr>
        <w:t>等渠道投诉举报件办理，切实维护企业和用户合法权益。对群众举报的线索，尤其是对于行业协会和</w:t>
      </w:r>
      <w:r>
        <w:rPr>
          <w:rFonts w:hint="eastAsia"/>
          <w:bCs/>
          <w:color w:val="000000"/>
        </w:rPr>
        <w:t>舆情曝光</w:t>
      </w:r>
      <w:r>
        <w:rPr>
          <w:rFonts w:hint="eastAsia"/>
          <w:color w:val="000000"/>
          <w:spacing w:val="-6"/>
        </w:rPr>
        <w:t>反映的线索，要认真核查，重点突破。</w:t>
      </w:r>
    </w:p>
    <w:p>
      <w:pPr>
        <w:spacing w:line="570" w:lineRule="exact"/>
      </w:pPr>
    </w:p>
    <w:p>
      <w:pPr>
        <w:autoSpaceDE w:val="0"/>
        <w:spacing w:line="570" w:lineRule="exact"/>
        <w:ind w:firstLine="360" w:firstLineChars="100"/>
        <w:jc w:val="center"/>
        <w:rPr>
          <w:rFonts w:eastAsia="方正小标宋简体"/>
          <w:color w:val="000000"/>
          <w:sz w:val="36"/>
          <w:szCs w:val="36"/>
        </w:rPr>
      </w:pPr>
      <w:r>
        <w:rPr>
          <w:rFonts w:hint="eastAsia" w:eastAsia="方正小标宋简体"/>
          <w:color w:val="000000"/>
          <w:sz w:val="36"/>
          <w:szCs w:val="36"/>
        </w:rPr>
        <w:t>三、假冒伪劣儿童玩具违法案件查处方案</w:t>
      </w:r>
    </w:p>
    <w:p>
      <w:pPr>
        <w:spacing w:line="570" w:lineRule="exact"/>
        <w:rPr>
          <w:rFonts w:hAnsi="仿宋_GB2312"/>
        </w:rPr>
      </w:pPr>
    </w:p>
    <w:p>
      <w:pPr>
        <w:spacing w:line="570" w:lineRule="exact"/>
        <w:ind w:firstLine="640" w:firstLineChars="200"/>
        <w:rPr>
          <w:rFonts w:hAnsi="仿宋_GB2312" w:cs="仿宋_GB2312"/>
        </w:rPr>
      </w:pPr>
      <w:r>
        <w:rPr>
          <w:rFonts w:hint="eastAsia" w:hAnsi="仿宋_GB2312" w:cs="仿宋_GB2312"/>
        </w:rPr>
        <w:t>近年来，萝卜刀、手办等网红儿童玩具风靡校园周边，部分产品存在质量安全隐患，引起了社会面较大关注。儿童玩具质量关系未成年人的身心健康，要持续加强儿童玩具领域监管执法，严厉打击制售假冒伪劣儿童玩具的违法行为，切实守护儿童玩具质量安全，营造未成年人健康成长环境。</w:t>
      </w:r>
    </w:p>
    <w:p>
      <w:pPr>
        <w:spacing w:line="570" w:lineRule="exact"/>
        <w:ind w:firstLine="640" w:firstLineChars="200"/>
        <w:rPr>
          <w:rFonts w:ascii="黑体" w:hAnsi="黑体" w:eastAsia="黑体"/>
        </w:rPr>
      </w:pPr>
      <w:r>
        <w:rPr>
          <w:rFonts w:hint="eastAsia" w:ascii="黑体" w:hAnsi="黑体" w:eastAsia="黑体"/>
        </w:rPr>
        <w:t>一、查处重点</w:t>
      </w:r>
    </w:p>
    <w:p>
      <w:pPr>
        <w:spacing w:line="570" w:lineRule="exact"/>
        <w:ind w:firstLine="640" w:firstLineChars="200"/>
        <w:rPr>
          <w:rFonts w:hAnsi="仿宋_GB2312" w:cs="仿宋_GB2312"/>
        </w:rPr>
      </w:pPr>
      <w:r>
        <w:rPr>
          <w:rFonts w:hint="eastAsia" w:hAnsi="仿宋_GB2312" w:cs="仿宋_GB2312"/>
        </w:rPr>
        <w:t>（一）严厉查处生产销售不符合国家标准要求、伪造或者冒用厂名厂址的儿童玩具等违法行为。</w:t>
      </w:r>
    </w:p>
    <w:p>
      <w:pPr>
        <w:spacing w:line="570" w:lineRule="exact"/>
        <w:ind w:firstLine="640" w:firstLineChars="200"/>
        <w:rPr>
          <w:rFonts w:hAnsi="仿宋_GB2312" w:cs="仿宋_GB2312"/>
        </w:rPr>
      </w:pPr>
      <w:r>
        <w:rPr>
          <w:rFonts w:hint="eastAsia" w:hAnsi="仿宋_GB2312" w:cs="仿宋_GB2312"/>
        </w:rPr>
        <w:t>（二）严厉查处未经认证擅自出厂、销售或者在其他经营活动中使用列入强制认证目录儿童玩具的违法行为。</w:t>
      </w:r>
    </w:p>
    <w:p>
      <w:pPr>
        <w:spacing w:line="570" w:lineRule="exact"/>
        <w:ind w:firstLine="640" w:firstLineChars="200"/>
        <w:rPr>
          <w:rFonts w:hAnsi="仿宋_GB2312" w:cs="仿宋_GB2312"/>
        </w:rPr>
      </w:pPr>
      <w:r>
        <w:rPr>
          <w:rFonts w:hint="eastAsia" w:hAnsi="仿宋_GB2312" w:cs="仿宋_GB2312"/>
        </w:rPr>
        <w:t>（三）严厉查处生产销售侵犯注册商标专用</w:t>
      </w:r>
      <w:r>
        <w:rPr>
          <w:rFonts w:hint="eastAsia" w:hAnsi="仿宋_GB2312" w:cs="仿宋_GB2312"/>
          <w:lang w:eastAsia="zh-CN"/>
        </w:rPr>
        <w:t>权的</w:t>
      </w:r>
      <w:r>
        <w:rPr>
          <w:rFonts w:hint="eastAsia" w:hAnsi="仿宋_GB2312" w:cs="仿宋_GB2312"/>
        </w:rPr>
        <w:t>儿童玩具违法行为。</w:t>
      </w:r>
    </w:p>
    <w:p>
      <w:pPr>
        <w:spacing w:line="570" w:lineRule="exact"/>
        <w:ind w:firstLine="640" w:firstLineChars="200"/>
        <w:rPr>
          <w:rFonts w:ascii="黑体" w:hAnsi="黑体" w:eastAsia="黑体"/>
        </w:rPr>
      </w:pPr>
      <w:r>
        <w:rPr>
          <w:rFonts w:hint="eastAsia" w:ascii="黑体" w:hAnsi="黑体" w:eastAsia="黑体"/>
        </w:rPr>
        <w:t>二、查处依据</w:t>
      </w:r>
    </w:p>
    <w:p>
      <w:pPr>
        <w:spacing w:line="570" w:lineRule="exact"/>
        <w:ind w:firstLine="640" w:firstLineChars="200"/>
        <w:rPr>
          <w:rFonts w:hAnsi="仿宋_GB2312"/>
        </w:rPr>
      </w:pPr>
      <w:r>
        <w:rPr>
          <w:rFonts w:hint="eastAsia" w:hAnsi="仿宋_GB2312"/>
        </w:rPr>
        <w:t>（一）依据《中华人民共和国产品质量法》第四十九条、第五十条、第五十三条、第五十四条等规定作出处罚。</w:t>
      </w:r>
    </w:p>
    <w:p>
      <w:pPr>
        <w:spacing w:line="570" w:lineRule="exact"/>
        <w:ind w:firstLine="640" w:firstLineChars="200"/>
        <w:rPr>
          <w:rFonts w:hAnsi="仿宋_GB2312"/>
        </w:rPr>
      </w:pPr>
      <w:r>
        <w:rPr>
          <w:rFonts w:hint="eastAsia" w:hAnsi="仿宋_GB2312"/>
        </w:rPr>
        <w:t>（二）依据《中华人民共和国认证认可条例》第六十六条等规定作出处罚。</w:t>
      </w:r>
    </w:p>
    <w:p>
      <w:pPr>
        <w:spacing w:line="570" w:lineRule="exact"/>
        <w:ind w:firstLine="640" w:firstLineChars="200"/>
        <w:rPr>
          <w:rFonts w:hAnsi="仿宋_GB2312"/>
        </w:rPr>
      </w:pPr>
      <w:r>
        <w:rPr>
          <w:rFonts w:hint="eastAsia" w:hAnsi="仿宋_GB2312"/>
        </w:rPr>
        <w:t>（三）依据《中华人民共和国商标法》第六十条等规定作出处罚。</w:t>
      </w:r>
    </w:p>
    <w:p>
      <w:pPr>
        <w:pStyle w:val="2"/>
        <w:spacing w:line="570" w:lineRule="exact"/>
        <w:ind w:firstLine="640" w:firstLineChars="200"/>
      </w:pPr>
      <w:r>
        <w:rPr>
          <w:rFonts w:hint="eastAsia" w:hAnsi="仿宋_GB2312"/>
        </w:rPr>
        <w:t>（四）《强制性产品认证管理规定》第四十九条等规定。</w:t>
      </w:r>
    </w:p>
    <w:p>
      <w:pPr>
        <w:spacing w:line="570" w:lineRule="exact"/>
        <w:ind w:firstLine="640" w:firstLineChars="200"/>
        <w:rPr>
          <w:rFonts w:ascii="黑体" w:hAnsi="黑体" w:eastAsia="黑体"/>
        </w:rPr>
      </w:pPr>
      <w:r>
        <w:rPr>
          <w:rFonts w:hint="eastAsia" w:ascii="黑体" w:hAnsi="黑体" w:eastAsia="黑体"/>
        </w:rPr>
        <w:t>三、有关要求</w:t>
      </w:r>
    </w:p>
    <w:p>
      <w:pPr>
        <w:spacing w:line="570" w:lineRule="exact"/>
        <w:ind w:firstLine="640" w:firstLineChars="200"/>
        <w:rPr>
          <w:rFonts w:ascii="楷体" w:hAnsi="楷体" w:eastAsia="楷体"/>
        </w:rPr>
      </w:pPr>
      <w:r>
        <w:rPr>
          <w:rFonts w:hint="eastAsia" w:ascii="楷体" w:hAnsi="楷体" w:eastAsia="楷体"/>
        </w:rPr>
        <w:t>（一）聚焦质量问题开展执法检查。</w:t>
      </w:r>
    </w:p>
    <w:p>
      <w:pPr>
        <w:spacing w:line="570" w:lineRule="exact"/>
        <w:ind w:firstLine="640" w:firstLineChars="200"/>
        <w:rPr>
          <w:rFonts w:hAnsi="仿宋_GB2312"/>
        </w:rPr>
      </w:pPr>
      <w:r>
        <w:rPr>
          <w:rFonts w:hint="eastAsia" w:hAnsi="仿宋_GB2312"/>
        </w:rPr>
        <w:t>聚焦儿童玩具产业集中地、专业批发市场、校园周边和电商平台等重点区域，采用监督抽查与执法检查相结合的方式开展检查。重点关注儿童玩具化学危害、物理危害和可燃性危害等检验指标；无警示说明、年龄标识、过期失效产品及“三无”产品；部分生产者违法违规使用回收劣质原料加工生产等违法行为。</w:t>
      </w:r>
    </w:p>
    <w:p>
      <w:pPr>
        <w:spacing w:line="570" w:lineRule="exact"/>
        <w:ind w:firstLine="640" w:firstLineChars="200"/>
        <w:rPr>
          <w:rFonts w:ascii="楷体" w:hAnsi="楷体" w:eastAsia="楷体"/>
        </w:rPr>
      </w:pPr>
      <w:r>
        <w:rPr>
          <w:rFonts w:hint="eastAsia" w:ascii="楷体" w:hAnsi="楷体" w:eastAsia="楷体"/>
        </w:rPr>
        <w:t>（二）聚焦认证问题开展执法办案。</w:t>
      </w:r>
    </w:p>
    <w:p>
      <w:pPr>
        <w:spacing w:line="570" w:lineRule="exact"/>
        <w:ind w:firstLine="640" w:firstLineChars="200"/>
        <w:rPr>
          <w:rFonts w:hAnsi="仿宋_GB2312"/>
        </w:rPr>
      </w:pPr>
      <w:r>
        <w:rPr>
          <w:rFonts w:hint="eastAsia" w:hAnsi="仿宋_GB2312"/>
        </w:rPr>
        <w:t>针对塑胶玩具、电玩具、童车等列入强制性认证的儿童玩具产品，在生产领域重点查处未取得强制性认证擅自出厂、销售；经认证后，不按照法定条件、要求从事生产经营活动或者生产、销售不符合法定要求的产品等违法行为。在流通领域重点检查是否存在未经认证销售行为，同时检查是否存在未拓展型号、伪造、买卖、冒用认证标志及证书等违法行为。</w:t>
      </w:r>
    </w:p>
    <w:p>
      <w:pPr>
        <w:spacing w:line="570" w:lineRule="exact"/>
        <w:ind w:firstLine="640" w:firstLineChars="200"/>
      </w:pPr>
      <w:r>
        <w:rPr>
          <w:rFonts w:hint="eastAsia" w:ascii="楷体" w:hAnsi="楷体" w:eastAsia="楷体"/>
        </w:rPr>
        <w:t>（三）聚焦重点时段开展曝光宣传。</w:t>
      </w:r>
    </w:p>
    <w:p>
      <w:pPr>
        <w:spacing w:line="570" w:lineRule="exact"/>
        <w:ind w:firstLine="640" w:firstLineChars="200"/>
      </w:pPr>
      <w:r>
        <w:rPr>
          <w:rFonts w:hint="eastAsia" w:hAnsi="仿宋_GB2312"/>
        </w:rPr>
        <w:t>聚焦六一、寒暑假、中秋春节等时令节日，全力整治一批儿童玩具质量安全突出问题、清理一批存在质量安全隐患产品、查办一批质量违法大案要案、曝光一批违法违规典型案例。联合相关部门加强对未成年人及家长的宣传教育，共同营造呵护未成年人健康成长的良好氛围。</w:t>
      </w:r>
    </w:p>
    <w:p>
      <w:pPr>
        <w:adjustRightInd w:val="0"/>
        <w:snapToGrid w:val="0"/>
        <w:spacing w:line="570" w:lineRule="exact"/>
        <w:jc w:val="center"/>
        <w:rPr>
          <w:rFonts w:ascii="方正小标宋简体" w:hAnsi="方正小标宋简体" w:eastAsia="方正小标宋简体" w:cs="方正小标宋简体"/>
        </w:rPr>
      </w:pPr>
    </w:p>
    <w:p>
      <w:pPr>
        <w:spacing w:line="570" w:lineRule="exact"/>
        <w:jc w:val="center"/>
        <w:rPr>
          <w:rFonts w:ascii="方正小标宋简体" w:hAnsi="仿宋_GB2312" w:eastAsia="方正小标宋简体" w:cs="仿宋_GB2312"/>
          <w:bCs/>
          <w:color w:val="000000" w:themeColor="text1"/>
          <w:sz w:val="36"/>
          <w:szCs w:val="36"/>
        </w:rPr>
      </w:pPr>
      <w:r>
        <w:rPr>
          <w:rFonts w:hint="eastAsia" w:ascii="方正小标宋简体" w:hAnsi="方正小标宋简体" w:eastAsia="方正小标宋简体" w:cs="方正小标宋简体"/>
          <w:snapToGrid w:val="0"/>
          <w:color w:val="000000"/>
          <w:spacing w:val="-6"/>
          <w:sz w:val="36"/>
          <w:szCs w:val="36"/>
          <w:shd w:val="clear" w:color="auto" w:fill="FFFFFF"/>
        </w:rPr>
        <w:t>四、食品中非法添加药品及其衍生物</w:t>
      </w:r>
      <w:r>
        <w:rPr>
          <w:rFonts w:hint="eastAsia" w:ascii="方正小标宋简体" w:hAnsi="仿宋_GB2312" w:eastAsia="方正小标宋简体" w:cs="仿宋_GB2312"/>
          <w:bCs/>
          <w:color w:val="000000" w:themeColor="text1"/>
          <w:sz w:val="36"/>
          <w:szCs w:val="36"/>
        </w:rPr>
        <w:t>案件查处方案</w:t>
      </w:r>
    </w:p>
    <w:p>
      <w:pPr>
        <w:spacing w:line="570" w:lineRule="exact"/>
        <w:ind w:firstLine="640" w:firstLineChars="200"/>
        <w:rPr>
          <w:rFonts w:hAnsi="仿宋_GB2312" w:cs="仿宋_GB2312"/>
          <w:color w:val="000000" w:themeColor="text1"/>
        </w:rPr>
      </w:pP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食品安全法》原则性规定了食品中禁止添加药品，但部分不法商家打着食疗、纯天然等幌子，在食品加入药物成分，并宣称能预防、治疗各种疾病。这些产品不仅会干扰患者的正常治疗，而且存在严重的健康隐患。执法部门应坚持全链条打击，加强部门合作尤其是行刑衔接，及时控制涉案产品流向，斩断非法利益链条，将社会危害降到最低，切实捍卫人民群众生命财产安全。</w:t>
      </w:r>
    </w:p>
    <w:p>
      <w:pPr>
        <w:spacing w:line="570" w:lineRule="exact"/>
        <w:ind w:firstLine="640" w:firstLineChars="200"/>
        <w:rPr>
          <w:rFonts w:ascii="黑体" w:hAnsi="黑体" w:eastAsia="黑体" w:cs="仿宋_GB2312"/>
          <w:color w:val="000000" w:themeColor="text1"/>
        </w:rPr>
      </w:pPr>
      <w:r>
        <w:rPr>
          <w:rFonts w:ascii="黑体" w:hAnsi="黑体" w:eastAsia="黑体" w:cs="仿宋_GB2312"/>
          <w:color w:val="000000" w:themeColor="text1"/>
        </w:rPr>
        <w:t>一</w:t>
      </w:r>
      <w:r>
        <w:rPr>
          <w:rFonts w:hint="eastAsia" w:ascii="黑体" w:hAnsi="黑体" w:eastAsia="黑体" w:cs="仿宋_GB2312"/>
          <w:color w:val="000000" w:themeColor="text1"/>
        </w:rPr>
        <w:t>、</w:t>
      </w:r>
      <w:r>
        <w:rPr>
          <w:rFonts w:ascii="黑体" w:hAnsi="黑体" w:eastAsia="黑体" w:cs="仿宋_GB2312"/>
          <w:color w:val="000000" w:themeColor="text1"/>
        </w:rPr>
        <w:t>查处重点</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（一）严厉查处生产经营添加药品的食品的违法行为。</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（二）以食品非法宣称镇痛、安睡等功能为重点，严厉打击生产经营的食品和食品添加剂的标签、说明书涉及疾病预防、治疗功能的违法行为。</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（三）严厉查处未经许可从事食品生产经营活动的违法行为。</w:t>
      </w:r>
    </w:p>
    <w:p>
      <w:pPr>
        <w:spacing w:line="570" w:lineRule="exact"/>
        <w:ind w:firstLine="640" w:firstLineChars="200"/>
        <w:rPr>
          <w:rFonts w:ascii="黑体" w:hAnsi="黑体" w:eastAsia="黑体" w:cs="仿宋_GB2312"/>
          <w:color w:val="000000" w:themeColor="text1"/>
        </w:rPr>
      </w:pPr>
      <w:r>
        <w:rPr>
          <w:rFonts w:hint="eastAsia" w:ascii="黑体" w:hAnsi="黑体" w:eastAsia="黑体" w:cs="仿宋_GB2312"/>
          <w:color w:val="000000" w:themeColor="text1"/>
        </w:rPr>
        <w:t>二、查处依据</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（一）《中华人民共和国食品安全法》</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（二）《中华人民共和国食品安全法实施条例》</w:t>
      </w:r>
    </w:p>
    <w:p>
      <w:pPr>
        <w:spacing w:line="570" w:lineRule="exact"/>
        <w:ind w:firstLine="640" w:firstLineChars="200"/>
        <w:rPr>
          <w:color w:val="000000" w:themeColor="text1"/>
        </w:rPr>
      </w:pPr>
      <w:r>
        <w:rPr>
          <w:rFonts w:hint="eastAsia" w:hAnsi="仿宋_GB2312" w:cs="仿宋_GB2312"/>
          <w:color w:val="000000" w:themeColor="text1"/>
        </w:rPr>
        <w:t>（三）</w:t>
      </w:r>
      <w:r>
        <w:rPr>
          <w:rFonts w:hint="eastAsia"/>
          <w:color w:val="000000" w:themeColor="text1"/>
        </w:rPr>
        <w:t>《中华人民共和国刑法》及《关于办理危害食品安全刑事案件适用法律若干问题的解释》（法释〔2021〕24号）等相关规定做好行刑衔接工作。</w:t>
      </w:r>
    </w:p>
    <w:p>
      <w:pPr>
        <w:spacing w:line="570" w:lineRule="exact"/>
        <w:ind w:firstLine="640" w:firstLineChars="200"/>
        <w:rPr>
          <w:rFonts w:ascii="黑体" w:hAnsi="黑体" w:eastAsia="黑体"/>
          <w:color w:val="000000" w:themeColor="text1"/>
        </w:rPr>
      </w:pPr>
      <w:r>
        <w:rPr>
          <w:rFonts w:ascii="黑体" w:hAnsi="黑体" w:eastAsia="黑体"/>
          <w:color w:val="000000" w:themeColor="text1"/>
        </w:rPr>
        <w:t>三</w:t>
      </w:r>
      <w:r>
        <w:rPr>
          <w:rFonts w:hint="eastAsia" w:ascii="黑体" w:hAnsi="黑体" w:eastAsia="黑体"/>
          <w:color w:val="000000" w:themeColor="text1"/>
        </w:rPr>
        <w:t>、有关要求</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（一）根据此类案件特点，应重点关注网络平台、药店、养生会所等，高度重视投诉举报线索，同时针对日常监管、抽检监测及司法机关移送等渠道发现的线索深挖细查。</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（二）应充分发挥检验检测机构的技术支撑作用，做到准确定性。对于涉嫌刑事的违法犯罪，应当充分利用公安部门具备的强制手段、侦查手段开展联合调查，同时加强</w:t>
      </w:r>
      <w:r>
        <w:rPr>
          <w:rFonts w:hint="eastAsia" w:hAnsi="仿宋_GB2312" w:cs="仿宋_GB2312"/>
          <w:color w:val="000000" w:themeColor="text1"/>
          <w:lang w:eastAsia="zh-CN"/>
        </w:rPr>
        <w:t>与其他</w:t>
      </w:r>
      <w:r>
        <w:rPr>
          <w:rFonts w:hint="eastAsia" w:hAnsi="仿宋_GB2312" w:cs="仿宋_GB2312"/>
          <w:color w:val="000000" w:themeColor="text1"/>
        </w:rPr>
        <w:t>司法部门衔接，共同查处食品违法犯罪大要案。</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（三）用好用全市场监管“工具箱”，严格落实“处罚到人”要求，</w:t>
      </w:r>
      <w:r>
        <w:rPr>
          <w:rFonts w:hint="eastAsia" w:hAnsi="仿宋_GB2312" w:cs="仿宋_GB2312"/>
          <w:color w:val="000000" w:themeColor="text1"/>
          <w:lang w:eastAsia="zh-CN"/>
        </w:rPr>
        <w:t>加大</w:t>
      </w:r>
      <w:r>
        <w:rPr>
          <w:rFonts w:hint="eastAsia" w:hAnsi="仿宋_GB2312" w:cs="仿宋_GB2312"/>
          <w:bCs/>
          <w:color w:val="000000" w:themeColor="text1"/>
        </w:rPr>
        <w:t>宣传曝光力度，营造打击食品违法犯罪的浓厚氛围，真正做到“打击一例、震慑一片”的社会效果。</w:t>
      </w:r>
    </w:p>
    <w:p>
      <w:pPr>
        <w:adjustRightInd w:val="0"/>
        <w:snapToGrid w:val="0"/>
        <w:spacing w:line="570" w:lineRule="exact"/>
        <w:jc w:val="center"/>
        <w:rPr>
          <w:rFonts w:ascii="方正小标宋简体" w:hAnsi="方正小标宋简体" w:eastAsia="方正小标宋简体" w:cs="方正小标宋简体"/>
        </w:rPr>
      </w:pPr>
    </w:p>
    <w:p>
      <w:pPr>
        <w:adjustRightInd w:val="0"/>
        <w:snapToGrid w:val="0"/>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五、违法生产使用小型锅炉案件查处方案</w:t>
      </w:r>
    </w:p>
    <w:p>
      <w:pPr>
        <w:spacing w:line="570" w:lineRule="exact"/>
        <w:ind w:firstLine="640" w:firstLineChars="200"/>
      </w:pPr>
    </w:p>
    <w:p>
      <w:pPr>
        <w:spacing w:line="570" w:lineRule="exact"/>
        <w:ind w:firstLine="640" w:firstLineChars="200"/>
      </w:pPr>
      <w:r>
        <w:rPr>
          <w:rFonts w:hint="eastAsia"/>
        </w:rPr>
        <w:t>根据《特种设备安全法》等法律法规要求，加大锅炉违法行为查处力度，对小型锅炉未按规定生产、使用等违法行为形成有效震慑。</w:t>
      </w:r>
    </w:p>
    <w:p>
      <w:pPr>
        <w:spacing w:line="570" w:lineRule="exact"/>
        <w:ind w:firstLine="640" w:firstLineChars="200"/>
        <w:rPr>
          <w:rFonts w:ascii="黑体" w:hAnsi="黑体" w:eastAsia="黑体"/>
        </w:rPr>
      </w:pPr>
      <w:r>
        <w:rPr>
          <w:rFonts w:hint="eastAsia" w:ascii="黑体" w:hAnsi="黑体" w:eastAsia="黑体"/>
        </w:rPr>
        <w:t>一、查处重点</w:t>
      </w:r>
    </w:p>
    <w:p>
      <w:pPr>
        <w:spacing w:line="570" w:lineRule="exact"/>
        <w:ind w:firstLine="640" w:firstLineChars="200"/>
      </w:pPr>
      <w:r>
        <w:rPr>
          <w:rFonts w:hint="eastAsia" w:ascii="楷体" w:hAnsi="楷体" w:eastAsia="楷体"/>
        </w:rPr>
        <w:t>（一）加强小型锅炉生产环节监督检查</w:t>
      </w:r>
      <w:r>
        <w:rPr>
          <w:rFonts w:hint="eastAsia"/>
        </w:rPr>
        <w:t>。排查锅炉制造单位，重点查处无证生产、虚假标注锅炉参数以规避监管、未开展锅炉设计文件鉴定和节能审查、未实施监督检验（含制造、安装、改造、重大修理）、生产国家明令淘汰、禁止新建锅炉等违法行为。</w:t>
      </w:r>
    </w:p>
    <w:p>
      <w:pPr>
        <w:spacing w:line="570" w:lineRule="exact"/>
        <w:ind w:firstLine="640" w:firstLineChars="200"/>
      </w:pPr>
      <w:r>
        <w:rPr>
          <w:rFonts w:hint="eastAsia" w:ascii="楷体" w:hAnsi="楷体" w:eastAsia="楷体"/>
        </w:rPr>
        <w:t>（二）加强小型锅炉使用环节监督检查</w:t>
      </w:r>
      <w:r>
        <w:rPr>
          <w:rFonts w:hint="eastAsia"/>
        </w:rPr>
        <w:t>。排查D级锅炉和参数在《特种设备目录》临界值附近的蒸汽发生设备，重点查处用虚假参数逃避监管、未办理使用登记、未开展定期检验、未配备持证作业人员、安全附件未定期校验（检定）、使用国家明令淘汰的锅炉、未开展日常维护保养和定期自行检查等违法行为。</w:t>
      </w:r>
    </w:p>
    <w:p>
      <w:pPr>
        <w:spacing w:line="570" w:lineRule="exact"/>
        <w:ind w:firstLine="640" w:firstLineChars="200"/>
        <w:rPr>
          <w:rFonts w:ascii="黑体" w:hAnsi="黑体" w:eastAsia="黑体"/>
        </w:rPr>
      </w:pPr>
      <w:r>
        <w:rPr>
          <w:rFonts w:hint="eastAsia" w:ascii="黑体" w:hAnsi="黑体" w:eastAsia="黑体"/>
        </w:rPr>
        <w:t>二、查处依据</w:t>
      </w:r>
    </w:p>
    <w:p>
      <w:pPr>
        <w:spacing w:line="570" w:lineRule="exact"/>
        <w:ind w:firstLine="640" w:firstLineChars="200"/>
      </w:pPr>
      <w:r>
        <w:rPr>
          <w:rFonts w:hint="eastAsia"/>
        </w:rPr>
        <w:t>（一）《特种设备安全法》第七十四条、第七十五条、第七十六条、第七十七条、第七十八条、第七十九条、第八十一条、第八十三条、第八十四条等。</w:t>
      </w:r>
    </w:p>
    <w:p>
      <w:pPr>
        <w:spacing w:line="570" w:lineRule="exact"/>
        <w:ind w:firstLine="640" w:firstLineChars="200"/>
      </w:pPr>
      <w:r>
        <w:rPr>
          <w:rFonts w:hint="eastAsia"/>
        </w:rPr>
        <w:t>（二）《特种设备安全监察条例》第七十三条、第七十四条、第七十五条、第七十六条、第七十七条、第七十八条、第七十九条、第八十二条、第八十三条、第八十四条、第八十六条等。</w:t>
      </w:r>
    </w:p>
    <w:p>
      <w:pPr>
        <w:spacing w:line="570" w:lineRule="exact"/>
        <w:ind w:firstLine="640" w:firstLineChars="200"/>
      </w:pPr>
      <w:r>
        <w:rPr>
          <w:rFonts w:hint="eastAsia"/>
        </w:rPr>
        <w:t>（三）《特种设备使用管理规则》（</w:t>
      </w:r>
      <w:r>
        <w:t>TSG 08-2017</w:t>
      </w:r>
      <w:r>
        <w:rPr>
          <w:rFonts w:hint="eastAsia"/>
        </w:rPr>
        <w:t>）。</w:t>
      </w:r>
    </w:p>
    <w:p>
      <w:pPr>
        <w:spacing w:line="570" w:lineRule="exact"/>
        <w:ind w:firstLine="640" w:firstLineChars="200"/>
      </w:pPr>
      <w:r>
        <w:rPr>
          <w:rFonts w:hint="eastAsia"/>
        </w:rPr>
        <w:t>（四）《锅炉安全技术规程》（</w:t>
      </w:r>
      <w:r>
        <w:t>TSG 11-2020</w:t>
      </w:r>
      <w:r>
        <w:rPr>
          <w:rFonts w:hint="eastAsia"/>
        </w:rPr>
        <w:t>）。</w:t>
      </w:r>
    </w:p>
    <w:p>
      <w:pPr>
        <w:spacing w:line="570" w:lineRule="exact"/>
        <w:ind w:firstLine="640" w:firstLineChars="200"/>
      </w:pPr>
      <w:r>
        <w:rPr>
          <w:rFonts w:hint="eastAsia"/>
        </w:rPr>
        <w:t>（五）《锅炉节能环保技术规程》（</w:t>
      </w:r>
      <w:r>
        <w:t>TSG 91-2021</w:t>
      </w:r>
      <w:r>
        <w:rPr>
          <w:rFonts w:hint="eastAsia"/>
        </w:rPr>
        <w:t>）。</w:t>
      </w:r>
    </w:p>
    <w:p>
      <w:pPr>
        <w:spacing w:line="570" w:lineRule="exact"/>
        <w:ind w:firstLine="640" w:firstLineChars="200"/>
        <w:rPr>
          <w:rFonts w:ascii="黑体" w:hAnsi="黑体" w:eastAsia="黑体"/>
        </w:rPr>
      </w:pPr>
      <w:r>
        <w:rPr>
          <w:rFonts w:hint="eastAsia" w:ascii="黑体" w:hAnsi="黑体" w:eastAsia="黑体"/>
        </w:rPr>
        <w:t>三、有关要求</w:t>
      </w:r>
    </w:p>
    <w:p>
      <w:pPr>
        <w:spacing w:line="570" w:lineRule="exact"/>
        <w:ind w:firstLine="640" w:firstLineChars="200"/>
      </w:pPr>
      <w:r>
        <w:rPr>
          <w:rFonts w:hint="eastAsia"/>
        </w:rPr>
        <w:t>（一）加大信息数据搜集力度，多渠道获取办案线索，将有关投诉举报、舆情信息等作为案件线索，落实属地查处，推动社会共治。畅通举报渠道，做到精准打击违法行为。</w:t>
      </w:r>
    </w:p>
    <w:p>
      <w:pPr>
        <w:spacing w:line="570" w:lineRule="exact"/>
        <w:ind w:firstLine="640" w:firstLineChars="200"/>
      </w:pPr>
      <w:r>
        <w:rPr>
          <w:rFonts w:hint="eastAsia"/>
        </w:rPr>
        <w:t>（二）采取“四不两直”和“飞行检查”等方式加大监管力度，对小型锅炉生产、使用环节违法违规行为依法</w:t>
      </w:r>
      <w:r>
        <w:rPr>
          <w:rFonts w:hint="eastAsia"/>
          <w:lang w:eastAsia="zh-CN"/>
        </w:rPr>
        <w:t>严厉</w:t>
      </w:r>
      <w:r>
        <w:rPr>
          <w:rFonts w:hint="eastAsia"/>
        </w:rPr>
        <w:t>处罚，并及时向社会公布案件信息。</w:t>
      </w:r>
    </w:p>
    <w:p>
      <w:pPr>
        <w:adjustRightInd w:val="0"/>
        <w:snapToGrid w:val="0"/>
        <w:spacing w:line="570" w:lineRule="exact"/>
        <w:jc w:val="center"/>
        <w:rPr>
          <w:rFonts w:ascii="方正小标宋简体" w:hAnsi="方正小标宋简体" w:eastAsia="方正小标宋简体" w:cs="方正小标宋简体"/>
        </w:rPr>
      </w:pPr>
    </w:p>
    <w:p>
      <w:pPr>
        <w:adjustRightInd w:val="0"/>
        <w:snapToGrid w:val="0"/>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六、检验检测违法案件查处方案</w:t>
      </w:r>
    </w:p>
    <w:p>
      <w:pPr>
        <w:spacing w:line="570" w:lineRule="exact"/>
        <w:ind w:firstLine="640" w:firstLineChars="200"/>
        <w:rPr>
          <w:rFonts w:hAnsi="仿宋_GB2312" w:cs="仿宋_GB2312"/>
          <w:color w:val="000000"/>
        </w:rPr>
      </w:pPr>
    </w:p>
    <w:p>
      <w:pPr>
        <w:spacing w:line="570" w:lineRule="exact"/>
        <w:ind w:firstLine="640" w:firstLineChars="200"/>
        <w:rPr>
          <w:rFonts w:hAnsi="仿宋_GB2312" w:cs="仿宋_GB2312"/>
        </w:rPr>
      </w:pPr>
      <w:r>
        <w:rPr>
          <w:rFonts w:hint="eastAsia" w:hAnsi="仿宋_GB2312" w:cs="仿宋_GB2312"/>
          <w:color w:val="000000"/>
        </w:rPr>
        <w:t>近年来，随着经济的快速增长和全社会对环境保护以及质量安全关注度的提高，检验检测行业步入了发展的快车道，违法违规问题也日渐凸显，</w:t>
      </w:r>
      <w:r>
        <w:rPr>
          <w:rFonts w:hint="eastAsia"/>
        </w:rPr>
        <w:t>市场秩序亟需净化和规范</w:t>
      </w:r>
      <w:r>
        <w:rPr>
          <w:rFonts w:hint="eastAsia" w:hAnsi="仿宋_GB2312" w:cs="仿宋_GB2312"/>
          <w:color w:val="000000"/>
        </w:rPr>
        <w:t>。要</w:t>
      </w:r>
      <w:r>
        <w:rPr>
          <w:rFonts w:hint="eastAsia" w:hAnsi="仿宋_GB2312" w:cs="仿宋_GB2312"/>
        </w:rPr>
        <w:t>坚持问题导向，紧盯检验检测重点领域、重点违法行为，综合运用市场监管执法手段，严厉打击检验检测领域突出违法行为，查办一批检验检测机构违法案件，以打促改、以打助管，坚决破除行业乱象，为行业健康发展保驾护航。</w:t>
      </w:r>
    </w:p>
    <w:p>
      <w:pPr>
        <w:pStyle w:val="7"/>
        <w:spacing w:before="0" w:beforeAutospacing="0" w:after="0" w:afterAutospacing="0" w:line="57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一、重点任务</w:t>
      </w:r>
    </w:p>
    <w:p>
      <w:pPr>
        <w:spacing w:line="570" w:lineRule="exact"/>
        <w:ind w:firstLine="640" w:firstLineChars="200"/>
        <w:rPr>
          <w:rFonts w:hAnsi="仿宋_GB2312" w:cs="仿宋_GB2312"/>
        </w:rPr>
      </w:pPr>
      <w:r>
        <w:rPr>
          <w:rFonts w:hint="eastAsia" w:hAnsi="仿宋_GB2312" w:cs="仿宋_GB2312"/>
        </w:rPr>
        <w:t>（一）检验检测机构未依法取得资质认定，擅自向社会出具具有证明作用的数据、结果。</w:t>
      </w:r>
    </w:p>
    <w:p>
      <w:pPr>
        <w:spacing w:line="570" w:lineRule="exact"/>
        <w:ind w:firstLine="640" w:firstLineChars="200"/>
        <w:rPr>
          <w:rFonts w:hAnsi="仿宋_GB2312" w:cs="仿宋_GB2312"/>
        </w:rPr>
      </w:pPr>
      <w:r>
        <w:rPr>
          <w:rFonts w:hint="eastAsia" w:hAnsi="仿宋_GB2312" w:cs="仿宋_GB2312"/>
        </w:rPr>
        <w:t>（二）检验检测机构基本条件和技术能力不能持续符合资质认定条件和要求，擅自向社会出具具有证明作用的检验检测数据、结果。</w:t>
      </w:r>
    </w:p>
    <w:p>
      <w:pPr>
        <w:spacing w:line="570" w:lineRule="exact"/>
        <w:ind w:firstLine="640" w:firstLineChars="200"/>
        <w:rPr>
          <w:rFonts w:hAnsi="仿宋_GB2312" w:cs="仿宋_GB2312"/>
        </w:rPr>
      </w:pPr>
      <w:r>
        <w:rPr>
          <w:rFonts w:hint="eastAsia" w:hAnsi="仿宋_GB2312" w:cs="仿宋_GB2312"/>
        </w:rPr>
        <w:t>（三）检验检测机构超出资质认定规定的检验检测能力范围，擅自向社会出具具有证明作用的数据、结果。</w:t>
      </w:r>
    </w:p>
    <w:p>
      <w:pPr>
        <w:spacing w:line="570" w:lineRule="exact"/>
        <w:ind w:firstLine="640" w:firstLineChars="200"/>
        <w:rPr>
          <w:rFonts w:hAnsi="仿宋_GB2312" w:cs="仿宋_GB2312"/>
        </w:rPr>
      </w:pPr>
      <w:r>
        <w:rPr>
          <w:rFonts w:hint="eastAsia" w:hAnsi="仿宋_GB2312" w:cs="仿宋_GB2312"/>
        </w:rPr>
        <w:t>（四）检验检测机构转让、出租、出借资质认定证书或者标志，伪造、变造、冒用资质认定证书或者标志，使用已经过期或者被撤销、注销的资质认定证书或者标志。</w:t>
      </w:r>
    </w:p>
    <w:p>
      <w:pPr>
        <w:spacing w:line="570" w:lineRule="exact"/>
        <w:ind w:firstLine="640" w:firstLineChars="200"/>
        <w:rPr>
          <w:rFonts w:hAnsi="仿宋_GB2312" w:cs="仿宋_GB2312"/>
        </w:rPr>
      </w:pPr>
      <w:r>
        <w:rPr>
          <w:rFonts w:hint="eastAsia" w:hAnsi="仿宋_GB2312" w:cs="仿宋_GB2312"/>
        </w:rPr>
        <w:t>（五）检验检测机构出具不实检验检测报告。</w:t>
      </w:r>
    </w:p>
    <w:p>
      <w:pPr>
        <w:spacing w:line="570" w:lineRule="exact"/>
        <w:ind w:firstLine="640" w:firstLineChars="200"/>
        <w:rPr>
          <w:rFonts w:hAnsi="仿宋_GB2312" w:cs="仿宋_GB2312"/>
        </w:rPr>
      </w:pPr>
      <w:r>
        <w:rPr>
          <w:rFonts w:hint="eastAsia" w:hAnsi="仿宋_GB2312" w:cs="仿宋_GB2312"/>
        </w:rPr>
        <w:t>（六）检验检测机构出具虚假检验检测报告。</w:t>
      </w:r>
    </w:p>
    <w:p>
      <w:pPr>
        <w:spacing w:line="570" w:lineRule="exact"/>
        <w:ind w:firstLine="640" w:firstLineChars="200"/>
        <w:rPr>
          <w:rFonts w:ascii="黑体" w:hAnsi="黑体" w:eastAsia="黑体" w:cs="黑体"/>
          <w:color w:val="000000"/>
          <w:kern w:val="0"/>
        </w:rPr>
      </w:pPr>
      <w:r>
        <w:rPr>
          <w:rFonts w:hint="eastAsia" w:ascii="黑体" w:hAnsi="黑体" w:eastAsia="黑体" w:cs="黑体"/>
          <w:color w:val="000000"/>
          <w:kern w:val="0"/>
        </w:rPr>
        <w:t>二、查处依据</w:t>
      </w:r>
    </w:p>
    <w:p>
      <w:pPr>
        <w:spacing w:line="570" w:lineRule="exact"/>
        <w:ind w:firstLine="640" w:firstLineChars="200"/>
        <w:rPr>
          <w:rFonts w:hAnsi="仿宋_GB2312" w:cs="仿宋_GB2312"/>
        </w:rPr>
      </w:pPr>
      <w:r>
        <w:rPr>
          <w:rFonts w:hint="eastAsia" w:hAnsi="仿宋_GB2312" w:cs="仿宋_GB2312"/>
        </w:rPr>
        <w:t>（一）《</w:t>
      </w:r>
      <w:r>
        <w:rPr>
          <w:rFonts w:hint="eastAsia" w:hAnsi="仿宋_GB2312" w:cs="仿宋_GB2312"/>
          <w:lang w:val="zh-CN"/>
        </w:rPr>
        <w:t>检验检测机构资质认定管理办法</w:t>
      </w:r>
      <w:r>
        <w:rPr>
          <w:rFonts w:hint="eastAsia" w:hAnsi="仿宋_GB2312" w:cs="仿宋_GB2312"/>
        </w:rPr>
        <w:t>》第三十四条、第三十六条、第三十七条等规定。</w:t>
      </w:r>
    </w:p>
    <w:p>
      <w:pPr>
        <w:spacing w:line="570" w:lineRule="exact"/>
        <w:ind w:firstLine="640" w:firstLineChars="200"/>
        <w:rPr>
          <w:rFonts w:hAnsi="仿宋_GB2312" w:cs="仿宋_GB2312"/>
        </w:rPr>
      </w:pPr>
      <w:r>
        <w:rPr>
          <w:rFonts w:hint="eastAsia" w:hAnsi="仿宋_GB2312" w:cs="仿宋_GB2312"/>
        </w:rPr>
        <w:t>（二）《检验检测机构监督管理办法》第二十六条等规定。</w:t>
      </w:r>
    </w:p>
    <w:p>
      <w:pPr>
        <w:spacing w:line="570" w:lineRule="exact"/>
        <w:ind w:firstLine="640" w:firstLineChars="200"/>
        <w:rPr>
          <w:rFonts w:hAnsi="仿宋_GB2312" w:cs="仿宋_GB2312"/>
        </w:rPr>
      </w:pPr>
      <w:r>
        <w:rPr>
          <w:rFonts w:hint="eastAsia" w:hAnsi="仿宋_GB2312" w:cs="仿宋_GB2312"/>
        </w:rPr>
        <w:t>（三）《中华人民共和国产品质量法》第五十七条等规定。</w:t>
      </w:r>
    </w:p>
    <w:p>
      <w:pPr>
        <w:spacing w:line="570" w:lineRule="exact"/>
        <w:ind w:firstLine="640" w:firstLineChars="200"/>
        <w:rPr>
          <w:rFonts w:hAnsi="仿宋_GB2312" w:cs="仿宋_GB2312"/>
        </w:rPr>
      </w:pPr>
      <w:r>
        <w:rPr>
          <w:rFonts w:hint="eastAsia" w:hAnsi="仿宋_GB2312" w:cs="仿宋_GB2312"/>
        </w:rPr>
        <w:t>（四）《中华人民共和国食品安全法》第一百三十八条等规定。</w:t>
      </w:r>
    </w:p>
    <w:p>
      <w:pPr>
        <w:pStyle w:val="7"/>
        <w:spacing w:before="0" w:beforeAutospacing="0" w:after="0" w:afterAutospacing="0" w:line="57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三、有关要求</w:t>
      </w:r>
    </w:p>
    <w:p>
      <w:pPr>
        <w:spacing w:line="570" w:lineRule="exact"/>
        <w:ind w:firstLine="640" w:firstLineChars="200"/>
        <w:rPr>
          <w:rFonts w:hAnsi="仿宋_GB2312" w:cs="仿宋_GB2312"/>
        </w:rPr>
      </w:pPr>
      <w:r>
        <w:rPr>
          <w:rFonts w:hint="eastAsia" w:ascii="楷体_GB2312" w:hAnsi="楷体_GB2312" w:eastAsia="楷体_GB2312" w:cs="楷体_GB2312"/>
        </w:rPr>
        <w:t>（一）深入摸排问题线索。</w:t>
      </w:r>
      <w:r>
        <w:rPr>
          <w:rFonts w:hint="eastAsia" w:hAnsi="仿宋_GB2312" w:cs="仿宋_GB2312"/>
        </w:rPr>
        <w:t>利用好投诉举报平台、日常监督检查等多种途径和方式，广泛收集案件线索，深挖食品、环保、消防产品等领域的检验检测机构违法行为线索，注重案件线索向上下游延伸。</w:t>
      </w:r>
    </w:p>
    <w:p>
      <w:pPr>
        <w:spacing w:line="570" w:lineRule="exact"/>
        <w:ind w:firstLine="640" w:firstLineChars="200"/>
        <w:rPr>
          <w:rFonts w:hAnsi="仿宋_GB2312" w:cs="仿宋_GB2312"/>
        </w:rPr>
      </w:pPr>
      <w:r>
        <w:rPr>
          <w:rFonts w:hint="eastAsia" w:ascii="楷体_GB2312" w:hAnsi="楷体_GB2312" w:eastAsia="楷体_GB2312" w:cs="楷体_GB2312"/>
        </w:rPr>
        <w:t>（二）狠抓大案要案办理。</w:t>
      </w:r>
      <w:r>
        <w:rPr>
          <w:rFonts w:hint="eastAsia" w:hAnsi="仿宋_GB2312" w:cs="仿宋_GB2312"/>
        </w:rPr>
        <w:t>要加强全链条执法，注重案件查办中的系统性、行业性违法行为，查办大案要案。对疑难复杂案件要进行会商研判，统筹协调执法力量集中查办，确保执法取得实效。</w:t>
      </w:r>
    </w:p>
    <w:p>
      <w:pPr>
        <w:spacing w:line="570" w:lineRule="exact"/>
        <w:ind w:firstLine="640" w:firstLineChars="200"/>
        <w:rPr>
          <w:rFonts w:hAnsi="仿宋_GB2312" w:cs="仿宋_GB2312"/>
          <w:color w:val="000000"/>
        </w:rPr>
      </w:pPr>
      <w:r>
        <w:rPr>
          <w:rFonts w:hint="eastAsia" w:ascii="楷体_GB2312" w:hAnsi="楷体_GB2312" w:eastAsia="楷体_GB2312" w:cs="楷体_GB2312"/>
        </w:rPr>
        <w:t>（三）依法依规处理到位。</w:t>
      </w:r>
      <w:r>
        <w:rPr>
          <w:rFonts w:hint="eastAsia" w:hAnsi="仿宋_GB2312" w:cs="仿宋_GB2312"/>
        </w:rPr>
        <w:t>要坚持上位法优先，强化行刑衔接，应当处罚到人的，必须处罚到人；涉嫌犯罪的，必须移送司法机关追究刑事责任。属于严重违法失信情形的，必须列入严重违法失信名单。</w:t>
      </w:r>
    </w:p>
    <w:p>
      <w:pPr>
        <w:adjustRightInd w:val="0"/>
        <w:snapToGrid w:val="0"/>
        <w:spacing w:line="570" w:lineRule="exact"/>
        <w:jc w:val="center"/>
        <w:rPr>
          <w:rFonts w:ascii="方正小标宋简体" w:hAnsi="方正小标宋简体" w:eastAsia="方正小标宋简体" w:cs="方正小标宋简体"/>
        </w:rPr>
      </w:pPr>
    </w:p>
    <w:p>
      <w:pPr>
        <w:adjustRightInd w:val="0"/>
        <w:snapToGrid w:val="0"/>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七、加油机计量作弊案件查处方案</w:t>
      </w:r>
    </w:p>
    <w:p>
      <w:pPr>
        <w:adjustRightInd w:val="0"/>
        <w:snapToGrid w:val="0"/>
        <w:spacing w:line="570" w:lineRule="exact"/>
        <w:jc w:val="center"/>
        <w:rPr>
          <w:rFonts w:ascii="方正小标宋简体" w:hAnsi="方正小标宋简体" w:eastAsia="方正小标宋简体" w:cs="方正小标宋简体"/>
        </w:rPr>
      </w:pPr>
    </w:p>
    <w:p>
      <w:pPr>
        <w:adjustRightInd w:val="0"/>
        <w:snapToGrid w:val="0"/>
        <w:spacing w:line="570" w:lineRule="exact"/>
        <w:ind w:firstLine="640"/>
        <w:rPr>
          <w:rFonts w:hAnsi="仿宋_GB2312" w:cs="仿宋_GB2312"/>
        </w:rPr>
      </w:pPr>
      <w:r>
        <w:rPr>
          <w:rFonts w:hint="eastAsia" w:hAnsi="仿宋_GB2312" w:cs="仿宋_GB2312"/>
        </w:rPr>
        <w:t>加油机计量准确与否，事关成品油市场公平公正的营商环境和广大人民群众的切身利益，但目前擅自改动加油机主板计量芯片及相关计量程序等破坏加油机计量准确度的违法行为时有发生，个别加油机计量检定不合格问题依然存在，亟需集中力量，严查违法行为，切实维护消费者权益。</w:t>
      </w: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一、查处重点</w:t>
      </w:r>
    </w:p>
    <w:p>
      <w:pPr>
        <w:adjustRightInd w:val="0"/>
        <w:snapToGrid w:val="0"/>
        <w:spacing w:line="570" w:lineRule="exact"/>
        <w:ind w:firstLine="640"/>
        <w:rPr>
          <w:rFonts w:hAnsi="仿宋_GB2312" w:cs="仿宋_GB2312"/>
        </w:rPr>
      </w:pPr>
      <w:r>
        <w:rPr>
          <w:rFonts w:hint="eastAsia" w:hAnsi="仿宋_GB2312" w:cs="仿宋_GB2312"/>
        </w:rPr>
        <w:t>（一）重点违法行为：使用破坏计量器具准确度的加油机，使用未按照规定进行检定或经检定不合格的加油机；私自开启加油机检定封印、破坏检定封缄或者防作弊装置。</w:t>
      </w:r>
    </w:p>
    <w:p>
      <w:pPr>
        <w:adjustRightInd w:val="0"/>
        <w:snapToGrid w:val="0"/>
        <w:spacing w:line="570" w:lineRule="exact"/>
        <w:ind w:firstLine="640"/>
        <w:rPr>
          <w:rFonts w:hAnsi="仿宋_GB2312" w:cs="仿宋_GB2312"/>
        </w:rPr>
      </w:pPr>
      <w:r>
        <w:rPr>
          <w:rFonts w:hint="eastAsia" w:hAnsi="仿宋_GB2312" w:cs="仿宋_GB2312"/>
        </w:rPr>
        <w:t>（二）重点关注领域：成品油销售价明显低于市场价的个体私营加油站；国道、省道等货车通行量大的道路两侧个体私营加油站。</w:t>
      </w:r>
    </w:p>
    <w:p>
      <w:pPr>
        <w:adjustRightInd w:val="0"/>
        <w:snapToGrid w:val="0"/>
        <w:spacing w:line="570" w:lineRule="exact"/>
        <w:ind w:firstLine="640"/>
        <w:rPr>
          <w:rFonts w:ascii="黑体" w:hAnsi="黑体" w:eastAsia="黑体" w:cs="黑体"/>
        </w:rPr>
      </w:pPr>
      <w:r>
        <w:rPr>
          <w:rFonts w:hint="eastAsia" w:ascii="黑体" w:hAnsi="黑体" w:eastAsia="黑体" w:cs="黑体"/>
        </w:rPr>
        <w:t>二、查处依据</w:t>
      </w:r>
    </w:p>
    <w:p>
      <w:pPr>
        <w:adjustRightInd w:val="0"/>
        <w:snapToGrid w:val="0"/>
        <w:spacing w:line="570" w:lineRule="exact"/>
        <w:ind w:firstLine="640"/>
        <w:rPr>
          <w:rFonts w:hAnsi="仿宋_GB2312" w:cs="仿宋_GB2312"/>
        </w:rPr>
      </w:pPr>
      <w:r>
        <w:rPr>
          <w:rFonts w:hint="eastAsia" w:hAnsi="仿宋_GB2312" w:cs="仿宋_GB2312"/>
        </w:rPr>
        <w:t>（一）《计量法》第二十四条、第二十五条、第二十六条、第二十七条等规定。</w:t>
      </w:r>
    </w:p>
    <w:p>
      <w:pPr>
        <w:adjustRightInd w:val="0"/>
        <w:snapToGrid w:val="0"/>
        <w:spacing w:line="570" w:lineRule="exact"/>
        <w:ind w:firstLine="640"/>
        <w:rPr>
          <w:rFonts w:hAnsi="仿宋_GB2312" w:cs="仿宋_GB2312"/>
        </w:rPr>
      </w:pPr>
      <w:r>
        <w:rPr>
          <w:rFonts w:hint="eastAsia" w:hAnsi="仿宋_GB2312" w:cs="仿宋_GB2312"/>
        </w:rPr>
        <w:t>（二）《计量法实施细则》第四十三条、第四十五条、第四十六条、第四十八条等规定。</w:t>
      </w:r>
    </w:p>
    <w:p>
      <w:pPr>
        <w:adjustRightInd w:val="0"/>
        <w:snapToGrid w:val="0"/>
        <w:spacing w:line="570" w:lineRule="exact"/>
        <w:ind w:firstLine="640"/>
        <w:rPr>
          <w:rFonts w:hAnsi="仿宋_GB2312" w:cs="仿宋_GB2312"/>
        </w:rPr>
      </w:pPr>
      <w:r>
        <w:rPr>
          <w:rFonts w:hint="eastAsia" w:hAnsi="仿宋_GB2312" w:cs="仿宋_GB2312"/>
        </w:rPr>
        <w:t>（三）《山东省计量条例》第三十四条、第三十五条、第三十六条等规定。</w:t>
      </w:r>
    </w:p>
    <w:p>
      <w:pPr>
        <w:adjustRightInd w:val="0"/>
        <w:snapToGrid w:val="0"/>
        <w:spacing w:line="570" w:lineRule="exact"/>
        <w:ind w:firstLine="640"/>
        <w:rPr>
          <w:rFonts w:hAnsi="仿宋_GB2312" w:cs="仿宋_GB2312"/>
        </w:rPr>
      </w:pPr>
      <w:r>
        <w:rPr>
          <w:rFonts w:hint="eastAsia" w:ascii="黑体" w:hAnsi="黑体" w:eastAsia="黑体" w:cs="黑体"/>
        </w:rPr>
        <w:t>三、有关要求</w:t>
      </w:r>
    </w:p>
    <w:p>
      <w:pPr>
        <w:adjustRightInd w:val="0"/>
        <w:snapToGrid w:val="0"/>
        <w:spacing w:line="570" w:lineRule="exact"/>
        <w:ind w:firstLine="640"/>
        <w:rPr>
          <w:rFonts w:hAnsi="仿宋_GB2312" w:cs="仿宋_GB2312"/>
        </w:rPr>
      </w:pPr>
      <w:r>
        <w:rPr>
          <w:rFonts w:hint="eastAsia" w:hAnsi="仿宋_GB2312" w:cs="仿宋_GB2312"/>
        </w:rPr>
        <w:t>（一）围绕重点关注领域，针对性开展加油机计量准确度暗访工作，主动搜集案源。积极攻克违法行为隐蔽性强、违法证据易灭失等执法难点，严厉查处违法行为。</w:t>
      </w:r>
    </w:p>
    <w:p>
      <w:pPr>
        <w:adjustRightInd w:val="0"/>
        <w:snapToGrid w:val="0"/>
        <w:spacing w:line="570" w:lineRule="exact"/>
        <w:ind w:firstLine="640"/>
        <w:rPr>
          <w:rFonts w:hAnsi="仿宋_GB2312" w:cs="仿宋_GB2312"/>
        </w:rPr>
      </w:pPr>
      <w:r>
        <w:rPr>
          <w:rFonts w:hint="eastAsia" w:hAnsi="仿宋_GB2312" w:cs="仿宋_GB2312"/>
        </w:rPr>
        <w:t>（二）注重与计量检定机构、计量或税控芯片生产单位、加油机生产厂家和上下级部门的协作配合，多方寻求技术支撑，强化闭环证据链，不断提高办案质量。</w:t>
      </w:r>
    </w:p>
    <w:p>
      <w:pPr>
        <w:adjustRightInd w:val="0"/>
        <w:snapToGrid w:val="0"/>
        <w:spacing w:line="570" w:lineRule="exact"/>
        <w:ind w:firstLine="640"/>
        <w:rPr>
          <w:rFonts w:ascii="方正小标宋简体" w:hAnsi="方正小标宋简体" w:eastAsia="方正小标宋简体" w:cs="方正小标宋简体"/>
        </w:rPr>
      </w:pPr>
      <w:r>
        <w:rPr>
          <w:rFonts w:hint="eastAsia" w:hAnsi="仿宋_GB2312" w:cs="仿宋_GB2312"/>
        </w:rPr>
        <w:t>（三）加大信息数据搜集力度，将有关投诉举报、舆情信息等作为案件线索，落实属地查处。加强与公安、税务等部门的协调配合，加强信息沟通，形成执法合力。</w:t>
      </w:r>
    </w:p>
    <w:p>
      <w:pPr>
        <w:numPr>
          <w:ilvl w:val="0"/>
          <w:numId w:val="1"/>
        </w:num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利用不公平格式条款侵害消费者权益</w:t>
      </w:r>
    </w:p>
    <w:p>
      <w:p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案件查处方案</w:t>
      </w:r>
    </w:p>
    <w:p>
      <w:pPr>
        <w:spacing w:line="570" w:lineRule="exact"/>
        <w:ind w:firstLine="640" w:firstLineChars="200"/>
        <w:rPr>
          <w:rFonts w:hAnsi="仿宋_GB2312" w:cs="仿宋_GB2312"/>
        </w:rPr>
      </w:pPr>
    </w:p>
    <w:p>
      <w:pPr>
        <w:spacing w:line="570" w:lineRule="exact"/>
        <w:ind w:firstLine="640" w:firstLineChars="200"/>
        <w:rPr>
          <w:rFonts w:hAnsi="仿宋_GB2312" w:cs="仿宋_GB2312"/>
        </w:rPr>
      </w:pPr>
      <w:r>
        <w:rPr>
          <w:rFonts w:hint="eastAsia" w:hAnsi="仿宋_GB2312" w:cs="仿宋_GB2312"/>
        </w:rPr>
        <w:t>《民法典》《合同违法行为监督处理办法》等</w:t>
      </w:r>
      <w:r>
        <w:rPr>
          <w:rFonts w:hint="eastAsia" w:hAnsi="仿宋_GB2312" w:cs="仿宋_GB2312"/>
          <w:lang w:eastAsia="zh-CN"/>
        </w:rPr>
        <w:t>法律法规</w:t>
      </w:r>
      <w:r>
        <w:rPr>
          <w:rFonts w:hint="eastAsia" w:hAnsi="仿宋_GB2312" w:cs="仿宋_GB2312"/>
        </w:rPr>
        <w:t>、规章对格式合同条款进行了规制。为保障消费者权益，营造和谐的消费环境，必须聚焦民生痛点，重点整治教育培训、旅游、公共事业等行业以及网络交易中典型的不公平格式条款违法违规行为。</w:t>
      </w:r>
    </w:p>
    <w:p>
      <w:pPr>
        <w:spacing w:line="570" w:lineRule="exact"/>
        <w:ind w:firstLine="640" w:firstLineChars="200"/>
        <w:rPr>
          <w:rFonts w:ascii="黑体" w:hAnsi="黑体" w:eastAsia="黑体" w:cs="黑体"/>
        </w:rPr>
      </w:pPr>
      <w:r>
        <w:rPr>
          <w:rFonts w:hint="eastAsia" w:ascii="黑体" w:hAnsi="黑体" w:eastAsia="黑体" w:cs="黑体"/>
        </w:rPr>
        <w:t>一、查处重点</w:t>
      </w:r>
    </w:p>
    <w:p>
      <w:pPr>
        <w:spacing w:line="570" w:lineRule="exact"/>
        <w:ind w:firstLine="640" w:firstLineChars="200"/>
        <w:rPr>
          <w:rFonts w:hAnsi="仿宋_GB2312" w:cs="仿宋_GB2312"/>
        </w:rPr>
      </w:pPr>
      <w:r>
        <w:rPr>
          <w:rFonts w:hint="eastAsia" w:hAnsi="仿宋_GB2312" w:cs="仿宋_GB2312"/>
        </w:rPr>
        <w:t>重点打击经营者减轻或者免除自身责任、加重消费者责任、排除或者限制消费者主要权利的格式合同、通知、声明、告示、店堂告示、行业惯例等行为。重点查处如下行为：</w:t>
      </w:r>
    </w:p>
    <w:p>
      <w:pPr>
        <w:spacing w:line="570" w:lineRule="exact"/>
        <w:ind w:firstLine="640" w:firstLineChars="200"/>
        <w:rPr>
          <w:rFonts w:ascii="楷体" w:hAnsi="楷体" w:eastAsia="楷体" w:cs="楷体"/>
        </w:rPr>
      </w:pPr>
      <w:r>
        <w:rPr>
          <w:rFonts w:hint="eastAsia" w:ascii="楷体" w:hAnsi="楷体" w:eastAsia="楷体" w:cs="楷体"/>
        </w:rPr>
        <w:t>（一）经营者在格式条款中免除自己的下列责任</w:t>
      </w:r>
    </w:p>
    <w:p>
      <w:pPr>
        <w:spacing w:line="570" w:lineRule="exact"/>
        <w:ind w:firstLine="640" w:firstLineChars="200"/>
        <w:rPr>
          <w:rFonts w:hAnsi="仿宋_GB2312" w:cs="仿宋_GB2312"/>
        </w:rPr>
      </w:pPr>
      <w:r>
        <w:rPr>
          <w:rFonts w:hint="eastAsia" w:hAnsi="仿宋_GB2312" w:cs="仿宋_GB2312"/>
        </w:rPr>
        <w:t>1.造成消费者人身伤害的责任；</w:t>
      </w:r>
    </w:p>
    <w:p>
      <w:pPr>
        <w:spacing w:line="570" w:lineRule="exact"/>
        <w:ind w:firstLine="640" w:firstLineChars="200"/>
        <w:rPr>
          <w:rFonts w:hAnsi="仿宋_GB2312" w:cs="仿宋_GB2312"/>
        </w:rPr>
      </w:pPr>
      <w:r>
        <w:rPr>
          <w:rFonts w:hint="eastAsia" w:hAnsi="仿宋_GB2312" w:cs="仿宋_GB2312"/>
        </w:rPr>
        <w:t>2.因故意或者重大过失造成消费者财产损失的责任；</w:t>
      </w:r>
    </w:p>
    <w:p>
      <w:pPr>
        <w:spacing w:line="570" w:lineRule="exact"/>
        <w:ind w:firstLine="640" w:firstLineChars="200"/>
        <w:rPr>
          <w:rFonts w:hAnsi="仿宋_GB2312" w:cs="仿宋_GB2312"/>
        </w:rPr>
      </w:pPr>
      <w:r>
        <w:rPr>
          <w:rFonts w:hint="eastAsia" w:hAnsi="仿宋_GB2312" w:cs="仿宋_GB2312"/>
        </w:rPr>
        <w:t>3.对提供的商品或者服务依法应当承担的保证责任；</w:t>
      </w:r>
    </w:p>
    <w:p>
      <w:pPr>
        <w:spacing w:line="570" w:lineRule="exact"/>
        <w:ind w:firstLine="640" w:firstLineChars="200"/>
        <w:rPr>
          <w:rFonts w:hAnsi="仿宋_GB2312" w:cs="仿宋_GB2312"/>
        </w:rPr>
      </w:pPr>
      <w:r>
        <w:rPr>
          <w:rFonts w:hint="eastAsia" w:hAnsi="仿宋_GB2312" w:cs="仿宋_GB2312"/>
        </w:rPr>
        <w:t>4.因违约依法应当承担的违约责任；</w:t>
      </w:r>
    </w:p>
    <w:p>
      <w:pPr>
        <w:spacing w:line="570" w:lineRule="exact"/>
        <w:ind w:firstLine="640" w:firstLineChars="200"/>
        <w:rPr>
          <w:rFonts w:hAnsi="仿宋_GB2312" w:cs="仿宋_GB2312"/>
        </w:rPr>
      </w:pPr>
      <w:r>
        <w:rPr>
          <w:rFonts w:hint="eastAsia" w:hAnsi="仿宋_GB2312" w:cs="仿宋_GB2312"/>
        </w:rPr>
        <w:t>5.依法应当承担的其他责任。</w:t>
      </w:r>
    </w:p>
    <w:p>
      <w:pPr>
        <w:spacing w:line="570" w:lineRule="exact"/>
        <w:ind w:firstLine="640" w:firstLineChars="200"/>
        <w:rPr>
          <w:rFonts w:ascii="楷体" w:hAnsi="楷体" w:eastAsia="楷体" w:cs="楷体"/>
        </w:rPr>
      </w:pPr>
      <w:r>
        <w:rPr>
          <w:rFonts w:hint="eastAsia" w:ascii="楷体" w:hAnsi="楷体" w:eastAsia="楷体" w:cs="楷体"/>
        </w:rPr>
        <w:t>（二）经营者在格式条款中加重消费者下列责任</w:t>
      </w:r>
    </w:p>
    <w:p>
      <w:pPr>
        <w:spacing w:line="570" w:lineRule="exact"/>
        <w:ind w:firstLine="640" w:firstLineChars="200"/>
        <w:rPr>
          <w:rFonts w:hAnsi="仿宋_GB2312" w:cs="仿宋_GB2312"/>
        </w:rPr>
      </w:pPr>
      <w:r>
        <w:rPr>
          <w:rFonts w:hint="eastAsia" w:hAnsi="仿宋_GB2312" w:cs="仿宋_GB2312"/>
        </w:rPr>
        <w:t>1.违约金或者损害赔偿金超过法定数额或者合理数额；</w:t>
      </w:r>
    </w:p>
    <w:p>
      <w:pPr>
        <w:spacing w:line="570" w:lineRule="exact"/>
        <w:ind w:firstLine="640" w:firstLineChars="200"/>
        <w:rPr>
          <w:rFonts w:hAnsi="仿宋_GB2312" w:cs="仿宋_GB2312"/>
        </w:rPr>
      </w:pPr>
      <w:r>
        <w:rPr>
          <w:rFonts w:hint="eastAsia" w:hAnsi="仿宋_GB2312" w:cs="仿宋_GB2312"/>
        </w:rPr>
        <w:t>2.承担应当由格式条款提供方承担的经营风险责任；</w:t>
      </w:r>
    </w:p>
    <w:p>
      <w:pPr>
        <w:spacing w:line="570" w:lineRule="exact"/>
        <w:ind w:firstLine="640" w:firstLineChars="200"/>
        <w:rPr>
          <w:rFonts w:hAnsi="仿宋_GB2312" w:cs="仿宋_GB2312"/>
        </w:rPr>
      </w:pPr>
      <w:r>
        <w:rPr>
          <w:rFonts w:hint="eastAsia" w:hAnsi="仿宋_GB2312" w:cs="仿宋_GB2312"/>
        </w:rPr>
        <w:t>3.其他依照法律法规不应由消费者承担的责任。</w:t>
      </w:r>
    </w:p>
    <w:p>
      <w:pPr>
        <w:spacing w:line="570" w:lineRule="exact"/>
        <w:ind w:firstLine="640" w:firstLineChars="200"/>
        <w:rPr>
          <w:rFonts w:ascii="楷体" w:hAnsi="楷体" w:eastAsia="楷体" w:cs="楷体"/>
        </w:rPr>
      </w:pPr>
      <w:r>
        <w:rPr>
          <w:rFonts w:hint="eastAsia" w:ascii="楷体" w:hAnsi="楷体" w:eastAsia="楷体" w:cs="楷体"/>
        </w:rPr>
        <w:t>（三）经营者在格式条款中排除消费者下列权利</w:t>
      </w:r>
    </w:p>
    <w:p>
      <w:pPr>
        <w:spacing w:line="570" w:lineRule="exact"/>
        <w:ind w:firstLine="640" w:firstLineChars="200"/>
        <w:rPr>
          <w:rFonts w:hAnsi="仿宋_GB2312" w:cs="仿宋_GB2312"/>
        </w:rPr>
      </w:pPr>
      <w:r>
        <w:rPr>
          <w:rFonts w:hint="eastAsia" w:hAnsi="仿宋_GB2312" w:cs="仿宋_GB2312"/>
        </w:rPr>
        <w:t>1.依法变更或者解除合同的权利；</w:t>
      </w:r>
    </w:p>
    <w:p>
      <w:pPr>
        <w:spacing w:line="570" w:lineRule="exact"/>
        <w:ind w:firstLine="640" w:firstLineChars="200"/>
        <w:rPr>
          <w:rFonts w:hAnsi="仿宋_GB2312" w:cs="仿宋_GB2312"/>
        </w:rPr>
      </w:pPr>
      <w:r>
        <w:rPr>
          <w:rFonts w:hint="eastAsia" w:hAnsi="仿宋_GB2312" w:cs="仿宋_GB2312"/>
        </w:rPr>
        <w:t>2.请求支付违约金的权利；</w:t>
      </w:r>
    </w:p>
    <w:p>
      <w:pPr>
        <w:spacing w:line="570" w:lineRule="exact"/>
        <w:ind w:firstLine="640" w:firstLineChars="200"/>
        <w:rPr>
          <w:rFonts w:hAnsi="仿宋_GB2312" w:cs="仿宋_GB2312"/>
        </w:rPr>
      </w:pPr>
      <w:r>
        <w:rPr>
          <w:rFonts w:hint="eastAsia" w:hAnsi="仿宋_GB2312" w:cs="仿宋_GB2312"/>
        </w:rPr>
        <w:t>3.请求损害赔偿的权利；</w:t>
      </w:r>
    </w:p>
    <w:p>
      <w:pPr>
        <w:spacing w:line="570" w:lineRule="exact"/>
        <w:ind w:firstLine="640" w:firstLineChars="200"/>
        <w:rPr>
          <w:rFonts w:hAnsi="仿宋_GB2312" w:cs="仿宋_GB2312"/>
        </w:rPr>
      </w:pPr>
      <w:r>
        <w:rPr>
          <w:rFonts w:hint="eastAsia" w:hAnsi="仿宋_GB2312" w:cs="仿宋_GB2312"/>
        </w:rPr>
        <w:t>4.解释格式条款的权利；</w:t>
      </w:r>
    </w:p>
    <w:p>
      <w:pPr>
        <w:spacing w:line="570" w:lineRule="exact"/>
        <w:ind w:firstLine="640" w:firstLineChars="200"/>
        <w:rPr>
          <w:rFonts w:hAnsi="仿宋_GB2312" w:cs="仿宋_GB2312"/>
        </w:rPr>
      </w:pPr>
      <w:r>
        <w:rPr>
          <w:rFonts w:hint="eastAsia" w:hAnsi="仿宋_GB2312" w:cs="仿宋_GB2312"/>
        </w:rPr>
        <w:t>5.就格式条款争议提起诉讼的权利；</w:t>
      </w:r>
    </w:p>
    <w:p>
      <w:pPr>
        <w:spacing w:line="570" w:lineRule="exact"/>
        <w:ind w:firstLine="640" w:firstLineChars="200"/>
        <w:rPr>
          <w:rFonts w:hAnsi="仿宋_GB2312" w:cs="仿宋_GB2312"/>
        </w:rPr>
      </w:pPr>
      <w:r>
        <w:rPr>
          <w:rFonts w:hint="eastAsia" w:hAnsi="仿宋_GB2312" w:cs="仿宋_GB2312"/>
        </w:rPr>
        <w:t>6.消费者依法应当享有的其他权利。</w:t>
      </w:r>
    </w:p>
    <w:p>
      <w:pPr>
        <w:spacing w:line="570" w:lineRule="exact"/>
        <w:ind w:firstLine="640" w:firstLineChars="200"/>
        <w:rPr>
          <w:rFonts w:ascii="黑体" w:hAnsi="黑体" w:eastAsia="黑体" w:cs="黑体"/>
        </w:rPr>
      </w:pPr>
      <w:r>
        <w:rPr>
          <w:rFonts w:hint="eastAsia" w:ascii="黑体" w:hAnsi="黑体" w:eastAsia="黑体" w:cs="黑体"/>
        </w:rPr>
        <w:t>二、查处依据</w:t>
      </w:r>
    </w:p>
    <w:p>
      <w:pPr>
        <w:spacing w:line="570" w:lineRule="exact"/>
        <w:ind w:firstLine="640" w:firstLineChars="200"/>
        <w:rPr>
          <w:rFonts w:hAnsi="仿宋_GB2312" w:cs="仿宋_GB2312"/>
        </w:rPr>
      </w:pPr>
      <w:r>
        <w:rPr>
          <w:rFonts w:hint="eastAsia" w:hAnsi="仿宋_GB2312" w:cs="仿宋_GB2312"/>
        </w:rPr>
        <w:t>《消费者权益保护法》《网络交易监督管理办法》《合同违法行为监督处理办法》《侵害消费者权益行为处罚办法》等。</w:t>
      </w:r>
    </w:p>
    <w:p>
      <w:pPr>
        <w:numPr>
          <w:ilvl w:val="0"/>
          <w:numId w:val="2"/>
        </w:numPr>
        <w:spacing w:line="570" w:lineRule="exact"/>
        <w:ind w:firstLine="640" w:firstLineChars="200"/>
        <w:rPr>
          <w:rFonts w:ascii="黑体" w:hAnsi="黑体" w:eastAsia="黑体" w:cs="黑体"/>
        </w:rPr>
      </w:pPr>
      <w:r>
        <w:rPr>
          <w:rFonts w:hint="eastAsia" w:ascii="黑体" w:hAnsi="黑体" w:eastAsia="黑体" w:cs="黑体"/>
        </w:rPr>
        <w:t>工作要求</w:t>
      </w:r>
    </w:p>
    <w:p>
      <w:pPr>
        <w:spacing w:line="570" w:lineRule="exact"/>
        <w:ind w:firstLine="640" w:firstLineChars="200"/>
        <w:rPr>
          <w:rFonts w:hAnsi="仿宋_GB2312" w:cs="仿宋_GB2312"/>
        </w:rPr>
      </w:pPr>
      <w:r>
        <w:rPr>
          <w:rFonts w:hint="eastAsia" w:ascii="楷体" w:hAnsi="楷体" w:eastAsia="楷体" w:cs="楷体"/>
        </w:rPr>
        <w:t>（一）坚持问题导向。</w:t>
      </w:r>
      <w:r>
        <w:rPr>
          <w:rFonts w:hint="eastAsia" w:hAnsi="仿宋_GB2312" w:cs="仿宋_GB2312"/>
        </w:rPr>
        <w:t>要</w:t>
      </w:r>
      <w:r>
        <w:rPr>
          <w:rFonts w:hint="eastAsia" w:hAnsi="仿宋_GB2312" w:cs="仿宋_GB2312"/>
          <w:lang w:eastAsia="zh-CN"/>
        </w:rPr>
        <w:t>聚焦</w:t>
      </w:r>
      <w:r>
        <w:rPr>
          <w:rFonts w:hint="eastAsia" w:hAnsi="仿宋_GB2312" w:cs="仿宋_GB2312"/>
        </w:rPr>
        <w:t>广大人民群众和消费者反映的热点问题，切实履行相关法规等赋予的职责，保护消费者合法权益。</w:t>
      </w:r>
    </w:p>
    <w:p>
      <w:pPr>
        <w:spacing w:line="570" w:lineRule="exact"/>
        <w:ind w:firstLine="640" w:firstLineChars="200"/>
        <w:rPr>
          <w:rFonts w:hAnsi="仿宋_GB2312" w:cs="仿宋_GB2312"/>
        </w:rPr>
      </w:pPr>
      <w:r>
        <w:rPr>
          <w:rFonts w:hint="eastAsia" w:ascii="楷体" w:hAnsi="楷体" w:eastAsia="楷体" w:cs="楷体"/>
        </w:rPr>
        <w:t>（二）加大执法力度。</w:t>
      </w:r>
      <w:r>
        <w:rPr>
          <w:rFonts w:hint="eastAsia" w:hAnsi="仿宋_GB2312" w:cs="仿宋_GB2312"/>
        </w:rPr>
        <w:t xml:space="preserve">要针对典型不公平格式条款，加大执法力度，查处一批典型案例，解决工作中遇到的实际问题，不断提升执法水平。    </w:t>
      </w:r>
    </w:p>
    <w:p>
      <w:pPr>
        <w:spacing w:line="570" w:lineRule="exact"/>
        <w:ind w:firstLine="640" w:firstLineChars="200"/>
      </w:pPr>
      <w:r>
        <w:rPr>
          <w:rFonts w:hint="eastAsia" w:ascii="楷体" w:hAnsi="楷体" w:eastAsia="楷体" w:cs="楷体"/>
        </w:rPr>
        <w:t>（三）加强协作共管。</w:t>
      </w:r>
      <w:r>
        <w:rPr>
          <w:rFonts w:hint="eastAsia" w:hAnsi="仿宋_GB2312" w:cs="仿宋_GB2312"/>
        </w:rPr>
        <w:t>要重视加强与有关行业主管部门的协调配合，及时沟通联络，促进信息共享，建立完善工作机制，形成部门联动的执法合力，努力提升整治水平。</w:t>
      </w:r>
    </w:p>
    <w:p>
      <w:pPr>
        <w:adjustRightInd w:val="0"/>
        <w:snapToGrid w:val="0"/>
        <w:spacing w:line="570" w:lineRule="exact"/>
        <w:jc w:val="center"/>
        <w:rPr>
          <w:rFonts w:ascii="方正小标宋简体" w:hAnsi="方正小标宋简体" w:eastAsia="方正小标宋简体" w:cs="方正小标宋简体"/>
        </w:rPr>
      </w:pPr>
    </w:p>
    <w:p>
      <w:pPr>
        <w:adjustRightInd w:val="0"/>
        <w:snapToGrid w:val="0"/>
        <w:spacing w:line="570" w:lineRule="exact"/>
        <w:jc w:val="center"/>
        <w:rPr>
          <w:rFonts w:hint="eastAsia" w:ascii="方正小标宋简体" w:hAnsi="方正小标宋简体" w:eastAsia="方正小标宋简体" w:cs="方正小标宋简体"/>
          <w:sz w:val="36"/>
          <w:szCs w:val="36"/>
        </w:rPr>
      </w:pPr>
    </w:p>
    <w:p>
      <w:pPr>
        <w:adjustRightInd w:val="0"/>
        <w:snapToGrid w:val="0"/>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九、（一）打击商标侵权行为</w:t>
      </w:r>
    </w:p>
    <w:p>
      <w:pPr>
        <w:adjustRightInd w:val="0"/>
        <w:snapToGrid w:val="0"/>
        <w:spacing w:line="570" w:lineRule="exact"/>
        <w:jc w:val="center"/>
        <w:rPr>
          <w:rFonts w:ascii="黑体" w:hAnsi="黑体" w:eastAsia="黑体" w:cs="黑体"/>
        </w:rPr>
      </w:pPr>
    </w:p>
    <w:p>
      <w:pPr>
        <w:adjustRightInd w:val="0"/>
        <w:snapToGrid w:val="0"/>
        <w:spacing w:line="570" w:lineRule="exact"/>
        <w:ind w:firstLine="640" w:firstLineChars="200"/>
        <w:rPr>
          <w:rFonts w:hAnsi="仿宋_GB2312" w:cs="仿宋_GB2312"/>
        </w:rPr>
      </w:pPr>
      <w:r>
        <w:rPr>
          <w:rFonts w:hint="eastAsia" w:hAnsi="仿宋_GB2312" w:cs="仿宋_GB2312"/>
        </w:rPr>
        <w:t>随着我国全面建成小康社会，创新环境持续改善，商品商标等无形资产的价值越来越高。但侵犯知名品牌商标的现象仍时有发生，迫切需要依法严厉查处商标侵权行为，切实保护消费者和商标专有权人的合法权益。</w:t>
      </w: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一、重点任务</w:t>
      </w:r>
    </w:p>
    <w:p>
      <w:pPr>
        <w:adjustRightInd w:val="0"/>
        <w:snapToGrid w:val="0"/>
        <w:spacing w:line="570" w:lineRule="exact"/>
        <w:ind w:firstLine="640" w:firstLineChars="200"/>
        <w:rPr>
          <w:rFonts w:hAnsi="仿宋_GB2312" w:cs="仿宋_GB2312"/>
        </w:rPr>
      </w:pPr>
      <w:r>
        <w:rPr>
          <w:rFonts w:hint="eastAsia" w:hAnsi="仿宋_GB2312" w:cs="仿宋_GB2312"/>
        </w:rPr>
        <w:t>以侵犯知名品牌商标专用权、恶意商标注册为重点，严厉查处以下违法行为：</w:t>
      </w:r>
    </w:p>
    <w:p>
      <w:pPr>
        <w:adjustRightInd w:val="0"/>
        <w:snapToGrid w:val="0"/>
        <w:spacing w:line="570" w:lineRule="exact"/>
        <w:ind w:firstLine="640" w:firstLineChars="200"/>
        <w:rPr>
          <w:rFonts w:hAnsi="仿宋_GB2312" w:cs="仿宋_GB2312"/>
        </w:rPr>
      </w:pPr>
      <w:r>
        <w:rPr>
          <w:rFonts w:hint="eastAsia" w:hAnsi="仿宋_GB2312" w:cs="仿宋_GB2312"/>
        </w:rPr>
        <w:t>未经商标注册人的许可，在同一种商品上使用与其注册商标相同的商标的；未经商标注册人的许可，在同一种商品上使用与其注册商标近似的商标，或者在类似商品上使用与其注册商标相同或者近似的商标，容易导致混淆的。销售侵犯注册商标专用权的商品的；伪造、擅自制造他人注册商标标识或者销售伪造、擅自制造的注册商标标识的；未经商标注册人同意，更换其注册商标并将该更换商标的商品又投入市场的；故意为侵犯他人商标专用权行为提供便利条件，帮助他人实施侵犯商标专用权行为的；给他人的注册商标专用权造成其他损害的。</w:t>
      </w: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二、查处依据</w:t>
      </w:r>
    </w:p>
    <w:p>
      <w:pPr>
        <w:adjustRightInd w:val="0"/>
        <w:snapToGrid w:val="0"/>
        <w:spacing w:line="570" w:lineRule="exact"/>
        <w:ind w:firstLine="640" w:firstLineChars="200"/>
        <w:rPr>
          <w:rFonts w:hAnsi="仿宋_GB2312" w:cs="仿宋_GB2312"/>
        </w:rPr>
      </w:pPr>
      <w:r>
        <w:rPr>
          <w:rFonts w:hint="eastAsia" w:hAnsi="仿宋_GB2312" w:cs="仿宋_GB2312"/>
        </w:rPr>
        <w:t>（一）《商标法》第五十七条、第六十条、第六十八条等。</w:t>
      </w:r>
    </w:p>
    <w:p>
      <w:pPr>
        <w:adjustRightInd w:val="0"/>
        <w:snapToGrid w:val="0"/>
        <w:spacing w:line="570" w:lineRule="exact"/>
        <w:ind w:firstLine="640" w:firstLineChars="200"/>
        <w:rPr>
          <w:rFonts w:hAnsi="仿宋_GB2312" w:cs="仿宋_GB2312"/>
        </w:rPr>
      </w:pPr>
      <w:r>
        <w:rPr>
          <w:rFonts w:hint="eastAsia" w:hAnsi="仿宋_GB2312" w:cs="仿宋_GB2312"/>
        </w:rPr>
        <w:t>（二）《商标法实施条例》第七十六条等。</w:t>
      </w: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三、有关要求</w:t>
      </w:r>
    </w:p>
    <w:p>
      <w:pPr>
        <w:adjustRightInd w:val="0"/>
        <w:snapToGrid w:val="0"/>
        <w:spacing w:line="570" w:lineRule="exact"/>
        <w:ind w:firstLine="640" w:firstLineChars="200"/>
        <w:rPr>
          <w:rFonts w:hAnsi="仿宋_GB2312" w:cs="仿宋_GB2312"/>
        </w:rPr>
      </w:pPr>
      <w:r>
        <w:rPr>
          <w:rFonts w:hint="eastAsia" w:hAnsi="仿宋_GB2312" w:cs="仿宋_GB2312"/>
        </w:rPr>
        <w:t>（一）充分发挥知识产权执法联络员作用，强化跨区域、跨部门协同联动，对商标侵权行为追踪溯源，并追查商标标识违法印制主体。</w:t>
      </w:r>
    </w:p>
    <w:p>
      <w:pPr>
        <w:adjustRightInd w:val="0"/>
        <w:snapToGrid w:val="0"/>
        <w:spacing w:line="570" w:lineRule="exact"/>
        <w:ind w:firstLine="640" w:firstLineChars="200"/>
        <w:rPr>
          <w:rFonts w:hAnsi="仿宋_GB2312" w:cs="仿宋_GB2312"/>
        </w:rPr>
      </w:pPr>
      <w:r>
        <w:rPr>
          <w:rFonts w:hint="eastAsia" w:hAnsi="仿宋_GB2312" w:cs="仿宋_GB2312"/>
        </w:rPr>
        <w:t>（二）围绕知名品牌销售的重点时机和重点市场，加强监管执法，一旦发现侵权知名品牌商品，循线追查上游销售商和生产源头，组织开展联合执法，构建覆盖生产、经营、流通的全链条办案模式。</w:t>
      </w:r>
    </w:p>
    <w:p>
      <w:pPr>
        <w:adjustRightInd w:val="0"/>
        <w:snapToGrid w:val="0"/>
        <w:spacing w:line="570" w:lineRule="exact"/>
        <w:ind w:firstLine="640" w:firstLineChars="200"/>
        <w:rPr>
          <w:rFonts w:ascii="方正小标宋简体" w:hAnsi="方正小标宋简体" w:eastAsia="方正小标宋简体" w:cs="方正小标宋简体"/>
        </w:rPr>
      </w:pPr>
      <w:r>
        <w:rPr>
          <w:rFonts w:hint="eastAsia" w:hAnsi="仿宋_GB2312" w:cs="仿宋_GB2312"/>
        </w:rPr>
        <w:t>（三）加强与权利人的沟通联系，积极发挥权利人在违法线索提供、侵权调查、商品鉴别、信息溯源中的作用，为案件查办工作提供支撑。</w:t>
      </w:r>
    </w:p>
    <w:p>
      <w:pPr>
        <w:spacing w:line="570" w:lineRule="exact"/>
        <w:rPr>
          <w:rFonts w:ascii="方正小标宋简体" w:hAnsi="方正小标宋简体" w:eastAsia="方正小标宋简体" w:cs="方正小标宋简体"/>
        </w:rPr>
      </w:pPr>
    </w:p>
    <w:p>
      <w:pPr>
        <w:spacing w:line="570" w:lineRule="exact"/>
        <w:jc w:val="center"/>
        <w:rPr>
          <w:sz w:val="36"/>
          <w:szCs w:val="36"/>
        </w:rPr>
      </w:pPr>
      <w:r>
        <w:rPr>
          <w:rFonts w:hint="eastAsia" w:ascii="方正小标宋简体" w:hAnsi="方正小标宋简体" w:eastAsia="方正小标宋简体" w:cs="方正小标宋简体"/>
          <w:sz w:val="36"/>
          <w:szCs w:val="36"/>
        </w:rPr>
        <w:t>九、（二）打击伪造和冒用地理标志</w:t>
      </w:r>
    </w:p>
    <w:p>
      <w:pPr>
        <w:adjustRightInd w:val="0"/>
        <w:snapToGrid w:val="0"/>
        <w:spacing w:line="570" w:lineRule="exact"/>
        <w:ind w:firstLine="640" w:firstLineChars="200"/>
        <w:rPr>
          <w:rFonts w:ascii="黑体" w:hAnsi="黑体" w:eastAsia="黑体" w:cs="黑体"/>
        </w:rPr>
      </w:pP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一、重点任务</w:t>
      </w:r>
    </w:p>
    <w:p>
      <w:pPr>
        <w:adjustRightInd w:val="0"/>
        <w:snapToGrid w:val="0"/>
        <w:spacing w:line="570" w:lineRule="exact"/>
        <w:ind w:firstLine="640" w:firstLineChars="200"/>
        <w:rPr>
          <w:rFonts w:hAnsi="仿宋_GB2312" w:cs="仿宋_GB2312"/>
        </w:rPr>
      </w:pPr>
      <w:r>
        <w:rPr>
          <w:rFonts w:hint="eastAsia" w:hAnsi="仿宋_GB2312" w:cs="仿宋_GB2312"/>
        </w:rPr>
        <w:t>以查处伪造和冒用地理标志为重点，严厉查处以下违法行为：</w:t>
      </w:r>
    </w:p>
    <w:p>
      <w:pPr>
        <w:adjustRightInd w:val="0"/>
        <w:snapToGrid w:val="0"/>
        <w:spacing w:line="570" w:lineRule="exact"/>
        <w:ind w:firstLine="640" w:firstLineChars="200"/>
        <w:rPr>
          <w:rFonts w:hAnsi="仿宋_GB2312" w:cs="仿宋_GB2312"/>
        </w:rPr>
      </w:pPr>
      <w:r>
        <w:rPr>
          <w:rFonts w:hint="eastAsia" w:hAnsi="仿宋_GB2312" w:cs="仿宋_GB2312"/>
        </w:rPr>
        <w:t>（一）侵犯地理标志集体、证明商标专用权违法行为；</w:t>
      </w:r>
    </w:p>
    <w:p>
      <w:pPr>
        <w:adjustRightInd w:val="0"/>
        <w:snapToGrid w:val="0"/>
        <w:spacing w:line="570" w:lineRule="exact"/>
        <w:ind w:firstLine="640" w:firstLineChars="200"/>
        <w:rPr>
          <w:rFonts w:hAnsi="仿宋_GB2312" w:cs="仿宋_GB2312"/>
        </w:rPr>
      </w:pPr>
      <w:r>
        <w:rPr>
          <w:rFonts w:hint="eastAsia" w:hAnsi="仿宋_GB2312" w:cs="仿宋_GB2312"/>
        </w:rPr>
        <w:t>（二）擅自使用与地理标志保护产品相同或相近似名称、误导相关公众的违法行为；</w:t>
      </w:r>
    </w:p>
    <w:p>
      <w:pPr>
        <w:adjustRightInd w:val="0"/>
        <w:snapToGrid w:val="0"/>
        <w:spacing w:line="570" w:lineRule="exact"/>
        <w:ind w:firstLine="640" w:firstLineChars="200"/>
        <w:rPr>
          <w:rFonts w:hAnsi="仿宋_GB2312" w:cs="仿宋_GB2312"/>
        </w:rPr>
      </w:pPr>
      <w:r>
        <w:rPr>
          <w:rFonts w:hint="eastAsia" w:hAnsi="仿宋_GB2312" w:cs="仿宋_GB2312"/>
        </w:rPr>
        <w:t>（三）未经公告擅自使用或者伪造地理标志专用标志，或者使用与地理标志专用标志相近、易产生误解的名称或者标识及可能误导消费者的文字或图案标志等违法行为；</w:t>
      </w: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二、查处依据</w:t>
      </w:r>
    </w:p>
    <w:p>
      <w:pPr>
        <w:adjustRightInd w:val="0"/>
        <w:snapToGrid w:val="0"/>
        <w:spacing w:line="570" w:lineRule="exact"/>
        <w:ind w:firstLine="640" w:firstLineChars="200"/>
        <w:rPr>
          <w:rFonts w:hAnsi="仿宋_GB2312" w:cs="仿宋_GB2312"/>
        </w:rPr>
      </w:pPr>
      <w:r>
        <w:rPr>
          <w:rFonts w:hint="eastAsia" w:hAnsi="仿宋_GB2312" w:cs="仿宋_GB2312"/>
        </w:rPr>
        <w:t>《地理标志产品保护规定》《地理标志专用标志使用管理办法》《商标法》《商标法实施条例》等规定。</w:t>
      </w: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三、有关要求</w:t>
      </w:r>
    </w:p>
    <w:p>
      <w:pPr>
        <w:adjustRightInd w:val="0"/>
        <w:snapToGrid w:val="0"/>
        <w:spacing w:line="570" w:lineRule="exact"/>
        <w:ind w:firstLine="640" w:firstLineChars="200"/>
        <w:rPr>
          <w:rFonts w:hAnsi="仿宋_GB2312" w:cs="仿宋_GB2312"/>
        </w:rPr>
      </w:pPr>
      <w:r>
        <w:rPr>
          <w:rFonts w:hint="eastAsia" w:hAnsi="仿宋_GB2312" w:cs="仿宋_GB2312"/>
        </w:rPr>
        <w:t>（一）充分发挥知识产权执法联络员作用，强化跨区域、跨部门协同联动，对伪造和冒用地理标志行为追踪溯源，并追查商标标识违法生产销售主体。</w:t>
      </w:r>
    </w:p>
    <w:p>
      <w:pPr>
        <w:adjustRightInd w:val="0"/>
        <w:snapToGrid w:val="0"/>
        <w:spacing w:line="570" w:lineRule="exact"/>
        <w:ind w:firstLine="640" w:firstLineChars="200"/>
        <w:rPr>
          <w:rFonts w:hAnsi="仿宋_GB2312" w:cs="仿宋_GB2312"/>
        </w:rPr>
      </w:pPr>
      <w:r>
        <w:rPr>
          <w:rFonts w:hint="eastAsia" w:hAnsi="仿宋_GB2312" w:cs="仿宋_GB2312"/>
        </w:rPr>
        <w:t>（二）围绕知名品牌销售的重点时机和重点市场，加强监管执法，一旦发现伪造和冒用地理标志，循线追查上游销售商和生产源头，组织开展联合执法，构建覆盖生产、经营、流通的全链条办案模式。</w:t>
      </w:r>
    </w:p>
    <w:p>
      <w:pPr>
        <w:adjustRightInd w:val="0"/>
        <w:snapToGrid w:val="0"/>
        <w:spacing w:line="570" w:lineRule="exact"/>
        <w:ind w:firstLine="640" w:firstLineChars="200"/>
        <w:rPr>
          <w:rFonts w:hAnsi="仿宋_GB2312" w:cs="仿宋_GB2312"/>
        </w:rPr>
      </w:pPr>
      <w:r>
        <w:rPr>
          <w:rFonts w:hint="eastAsia" w:hAnsi="仿宋_GB2312" w:cs="仿宋_GB2312"/>
        </w:rPr>
        <w:t>（三）加强与权利人的沟通联系，积极发挥权利人在违法线索提供、侵权调查、商品鉴别、信息溯源中的作用，为案件查办工作提供支撑。以查处伪造和冒用地理标志为重点，严厉查处以下违法行为：</w:t>
      </w:r>
    </w:p>
    <w:p>
      <w:pPr>
        <w:adjustRightInd w:val="0"/>
        <w:snapToGrid w:val="0"/>
        <w:spacing w:line="570" w:lineRule="exact"/>
        <w:ind w:firstLine="640" w:firstLineChars="200"/>
        <w:rPr>
          <w:rFonts w:hAnsi="仿宋_GB2312" w:cs="仿宋_GB2312"/>
        </w:rPr>
      </w:pPr>
      <w:r>
        <w:rPr>
          <w:rFonts w:hint="eastAsia" w:hAnsi="仿宋_GB2312" w:cs="仿宋_GB2312"/>
        </w:rPr>
        <w:t>未经公告擅自使用或者伪造地理标志专用标志；或者使用与地理标志专用标志相近、易产生误解的名称或者标识及可能误导消费者的文字或图案标志等违法行为。</w:t>
      </w:r>
    </w:p>
    <w:p>
      <w:pPr>
        <w:spacing w:line="570" w:lineRule="exact"/>
      </w:pPr>
    </w:p>
    <w:p>
      <w:p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十、价格欺诈违法案件查处方案</w:t>
      </w:r>
    </w:p>
    <w:p>
      <w:pPr>
        <w:spacing w:line="570" w:lineRule="exact"/>
        <w:ind w:firstLine="640" w:firstLineChars="200"/>
        <w:rPr>
          <w:rFonts w:hAnsi="仿宋_GB2312" w:cs="仿宋_GB2312"/>
          <w:color w:val="333333"/>
        </w:rPr>
      </w:pPr>
    </w:p>
    <w:p>
      <w:pPr>
        <w:spacing w:line="570" w:lineRule="exact"/>
        <w:ind w:firstLine="640" w:firstLineChars="200"/>
        <w:rPr>
          <w:rFonts w:hAnsi="仿宋_GB2312" w:cs="仿宋_GB2312"/>
        </w:rPr>
      </w:pPr>
      <w:r>
        <w:rPr>
          <w:rFonts w:hint="eastAsia" w:hAnsi="仿宋_GB2312" w:cs="仿宋_GB2312"/>
        </w:rPr>
        <w:t>价格欺诈是一种欺骗性价格表示，不仅损害消费者和其他经营者的合法权益，更扰乱了市场价格秩序。要以</w:t>
      </w:r>
      <w:r>
        <w:rPr>
          <w:rFonts w:hint="eastAsia" w:hAnsi="仿宋_GB2312" w:cs="仿宋_GB2312"/>
          <w:bCs/>
        </w:rPr>
        <w:t>强检查、严执法为抓手，进一步规范市场价格行为，构建省心、舒心、放心的消费环境。</w:t>
      </w:r>
    </w:p>
    <w:p>
      <w:pPr>
        <w:spacing w:line="570" w:lineRule="exact"/>
        <w:ind w:firstLine="640" w:firstLineChars="200"/>
        <w:rPr>
          <w:rFonts w:ascii="黑体" w:hAnsi="黑体" w:eastAsia="黑体" w:cs="黑体"/>
        </w:rPr>
      </w:pPr>
      <w:r>
        <w:rPr>
          <w:rFonts w:hint="eastAsia" w:ascii="黑体" w:hAnsi="黑体" w:eastAsia="黑体" w:cs="黑体"/>
        </w:rPr>
        <w:t>一、查处重点</w:t>
      </w:r>
    </w:p>
    <w:p>
      <w:pPr>
        <w:spacing w:line="570" w:lineRule="exact"/>
        <w:ind w:firstLine="640" w:firstLineChars="200"/>
        <w:rPr>
          <w:rFonts w:ascii="楷体_GB2312" w:hAnsi="楷体_GB2312" w:eastAsia="楷体_GB2312" w:cs="楷体_GB2312"/>
        </w:rPr>
      </w:pPr>
      <w:r>
        <w:rPr>
          <w:rFonts w:hint="eastAsia" w:ascii="楷体_GB2312" w:hAnsi="楷体_GB2312" w:eastAsia="楷体_GB2312" w:cs="楷体_GB2312"/>
        </w:rPr>
        <w:t>（一）重点关注领域：</w:t>
      </w:r>
      <w:r>
        <w:rPr>
          <w:rFonts w:hint="eastAsia" w:hAnsi="仿宋_GB2312" w:cs="仿宋_GB2312"/>
        </w:rPr>
        <w:t>聚焦学校、医院、交通场站、景区周边的商超、餐饮、停车等各类经营场所。</w:t>
      </w:r>
    </w:p>
    <w:p>
      <w:pPr>
        <w:widowControl/>
        <w:shd w:val="clear" w:color="auto"/>
        <w:spacing w:line="570" w:lineRule="exact"/>
        <w:ind w:firstLine="641"/>
        <w:rPr>
          <w:rFonts w:hAnsi="仿宋_GB2312" w:cs="仿宋_GB2312"/>
        </w:rPr>
      </w:pPr>
      <w:r>
        <w:rPr>
          <w:rFonts w:hint="eastAsia" w:ascii="楷体_GB2312" w:hAnsi="楷体_GB2312" w:eastAsia="楷体_GB2312" w:cs="楷体_GB2312"/>
        </w:rPr>
        <w:t>（二）重点违法行为：</w:t>
      </w:r>
      <w:r>
        <w:rPr>
          <w:rFonts w:hint="eastAsia" w:hAnsi="仿宋_GB2312" w:cs="仿宋_GB2312"/>
        </w:rPr>
        <w:t>谎称商品和服务价格为政府定价或者政府指导价；以低价诱骗消费者或者其他经营者，以高价进行结算；通过虚假折价、减价或者价格比较等方式销售商品或者提供服务；销售商品或者提供服务时，使用欺骗性、误导性的语言、文字、数字、图片或者视频等标示价格以及其他价格信息；无正当理由拒绝履行或者不完全履行价格承诺；不标示或者显著弱化标示对消费者或者其他经营者不利的价格条件，诱骗消费者或者其他经营者与其进行交易；通过积分、礼券、兑换券、代金券等折抵价款时，拒不按约定折抵价款。</w:t>
      </w:r>
    </w:p>
    <w:p>
      <w:pPr>
        <w:spacing w:line="570" w:lineRule="exact"/>
        <w:ind w:firstLine="640" w:firstLineChars="200"/>
        <w:rPr>
          <w:rFonts w:ascii="黑体" w:hAnsi="黑体" w:eastAsia="黑体" w:cs="黑体"/>
        </w:rPr>
      </w:pPr>
      <w:r>
        <w:rPr>
          <w:rFonts w:hint="eastAsia" w:ascii="黑体" w:hAnsi="黑体" w:eastAsia="黑体" w:cs="黑体"/>
        </w:rPr>
        <w:t>二、查处依据</w:t>
      </w:r>
    </w:p>
    <w:p>
      <w:pPr>
        <w:spacing w:line="570" w:lineRule="exact"/>
        <w:ind w:firstLine="640" w:firstLineChars="200"/>
        <w:rPr>
          <w:rFonts w:hAnsi="仿宋_GB2312" w:cs="仿宋_GB2312"/>
        </w:rPr>
      </w:pPr>
      <w:r>
        <w:rPr>
          <w:rFonts w:hint="eastAsia" w:hAnsi="仿宋_GB2312" w:cs="仿宋_GB2312"/>
        </w:rPr>
        <w:t>《价格法》《价格违法行为行政处罚规定》《明码标价和禁止价格欺诈规定》等。</w:t>
      </w:r>
    </w:p>
    <w:p>
      <w:pPr>
        <w:spacing w:line="570" w:lineRule="exact"/>
        <w:ind w:firstLine="640" w:firstLineChars="200"/>
        <w:rPr>
          <w:rFonts w:ascii="黑体" w:hAnsi="黑体" w:eastAsia="黑体" w:cs="黑体"/>
        </w:rPr>
      </w:pPr>
      <w:r>
        <w:rPr>
          <w:rFonts w:hint="eastAsia" w:ascii="黑体" w:hAnsi="黑体" w:eastAsia="黑体" w:cs="黑体"/>
        </w:rPr>
        <w:t>三、工作要求</w:t>
      </w:r>
    </w:p>
    <w:p>
      <w:pPr>
        <w:autoSpaceDE w:val="0"/>
        <w:spacing w:line="570" w:lineRule="exact"/>
        <w:ind w:firstLine="640" w:firstLineChars="200"/>
        <w:rPr>
          <w:rFonts w:hAnsi="仿宋_GB2312" w:cs="仿宋_GB2312"/>
        </w:rPr>
      </w:pPr>
      <w:r>
        <w:rPr>
          <w:rFonts w:hint="eastAsia" w:ascii="楷体_GB2312" w:hAnsi="楷体_GB2312" w:eastAsia="楷体_GB2312" w:cs="楷体_GB2312"/>
        </w:rPr>
        <w:t>（一）坚持问题导向。</w:t>
      </w:r>
      <w:r>
        <w:rPr>
          <w:rFonts w:hint="eastAsia" w:ascii="楷体_GB2312" w:hAnsi="楷体_GB2312" w:eastAsia="楷体_GB2312" w:cs="楷体_GB2312"/>
          <w:lang w:eastAsia="zh-CN"/>
        </w:rPr>
        <w:t>聚焦</w:t>
      </w:r>
      <w:r>
        <w:rPr>
          <w:rFonts w:hint="eastAsia" w:hAnsi="仿宋_GB2312" w:cs="仿宋_GB2312"/>
        </w:rPr>
        <w:t>广大人民群众和消费者反映的热点问题，利用好投诉举报、舆情监测、日常巡查检查等多种途径和方式，广泛收集深入摸排问题线索。</w:t>
      </w:r>
    </w:p>
    <w:p>
      <w:pPr>
        <w:autoSpaceDE w:val="0"/>
        <w:spacing w:line="570" w:lineRule="exact"/>
        <w:ind w:firstLine="640" w:firstLineChars="200"/>
        <w:rPr>
          <w:rFonts w:hAnsi="仿宋_GB2312" w:cs="仿宋_GB2312"/>
        </w:rPr>
      </w:pPr>
      <w:r>
        <w:rPr>
          <w:rFonts w:hint="eastAsia" w:ascii="楷体_GB2312" w:hAnsi="楷体_GB2312" w:eastAsia="楷体_GB2312" w:cs="楷体_GB2312"/>
        </w:rPr>
        <w:t>（二）查办典型案件。</w:t>
      </w:r>
      <w:r>
        <w:rPr>
          <w:rFonts w:hint="eastAsia" w:hAnsi="仿宋_GB2312" w:cs="仿宋_GB2312"/>
        </w:rPr>
        <w:t>查办一批价格欺诈典型案例，及时做好宣传曝光，旗帜鲜明地释放强监管、护民生信号，强化警示教育震慑作用。</w:t>
      </w:r>
    </w:p>
    <w:p>
      <w:pPr>
        <w:pStyle w:val="3"/>
        <w:spacing w:before="0" w:beforeAutospacing="0" w:after="0" w:afterAutospacing="0" w:line="570" w:lineRule="exact"/>
        <w:rPr>
          <w:rFonts w:hint="default"/>
          <w:sz w:val="32"/>
          <w:szCs w:val="32"/>
        </w:rPr>
      </w:pPr>
    </w:p>
    <w:p>
      <w:p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十一、虚假违法广告案件查处方案</w:t>
      </w:r>
    </w:p>
    <w:p>
      <w:pPr>
        <w:adjustRightInd w:val="0"/>
        <w:snapToGrid w:val="0"/>
        <w:spacing w:line="570" w:lineRule="exact"/>
        <w:jc w:val="center"/>
        <w:rPr>
          <w:rFonts w:ascii="黑体" w:hAnsi="黑体" w:eastAsia="黑体" w:cs="黑体"/>
        </w:rPr>
      </w:pPr>
    </w:p>
    <w:p>
      <w:pPr>
        <w:adjustRightInd w:val="0"/>
        <w:snapToGrid w:val="0"/>
        <w:spacing w:line="570" w:lineRule="exact"/>
        <w:ind w:firstLine="640" w:firstLineChars="200"/>
        <w:rPr>
          <w:rFonts w:hAnsi="仿宋_GB2312" w:cs="仿宋_GB2312"/>
        </w:rPr>
      </w:pPr>
      <w:r>
        <w:rPr>
          <w:rFonts w:hint="eastAsia" w:hAnsi="仿宋_GB2312" w:cs="仿宋_GB2312"/>
        </w:rPr>
        <w:t>虚假违法广告欺骗消费者、扰乱市场秩序，特别是医疗、药品、保健食品等领域的广告事关人民群众的生命健康安全，要重拳出击，依法严厉打击“神医”“神药”等广告乱象，营造让人民群众放心、安心、舒心的广告市场环境。</w:t>
      </w: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一、重点任务</w:t>
      </w:r>
    </w:p>
    <w:p>
      <w:pPr>
        <w:adjustRightInd w:val="0"/>
        <w:snapToGrid w:val="0"/>
        <w:spacing w:line="570" w:lineRule="exact"/>
        <w:ind w:firstLine="640" w:firstLineChars="200"/>
        <w:rPr>
          <w:rFonts w:hAnsi="仿宋_GB2312" w:cs="仿宋_GB2312"/>
        </w:rPr>
      </w:pPr>
      <w:r>
        <w:rPr>
          <w:rFonts w:hint="eastAsia" w:ascii="楷体" w:hAnsi="楷体" w:eastAsia="楷体" w:cs="楷体"/>
        </w:rPr>
        <w:t>（一）加强广告监测。</w:t>
      </w:r>
      <w:r>
        <w:rPr>
          <w:rFonts w:hint="eastAsia" w:hAnsi="仿宋_GB2312" w:cs="仿宋_GB2312"/>
        </w:rPr>
        <w:t>坚持日常监测与专项监测相结合，突出互联网等重点媒介以及节假日、“双十一”等重要时间节点，对发现的涉嫌违法广告线索及时依法处理。</w:t>
      </w:r>
    </w:p>
    <w:p>
      <w:pPr>
        <w:adjustRightInd w:val="0"/>
        <w:snapToGrid w:val="0"/>
        <w:spacing w:line="570" w:lineRule="exact"/>
        <w:ind w:firstLine="640" w:firstLineChars="200"/>
        <w:rPr>
          <w:rFonts w:hAnsi="仿宋_GB2312" w:cs="仿宋_GB2312"/>
        </w:rPr>
      </w:pPr>
      <w:r>
        <w:rPr>
          <w:rFonts w:hint="eastAsia" w:ascii="楷体" w:hAnsi="楷体" w:eastAsia="楷体" w:cs="楷体"/>
        </w:rPr>
        <w:t>（二）组织查办重点案件。</w:t>
      </w:r>
      <w:r>
        <w:rPr>
          <w:rFonts w:hint="eastAsia" w:hAnsi="仿宋_GB2312" w:cs="仿宋_GB2312"/>
        </w:rPr>
        <w:t>严厉查处未经审查发布医疗、药品、保健食品广告，以介绍健康养生知识等形式变相发布医疗、药品、保健食品等广告，保健食品宣传疾病治疗功效、捏造事实、夸大效果，以及违法代言等广告违法行为。</w:t>
      </w: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二、查处依据</w:t>
      </w:r>
    </w:p>
    <w:p>
      <w:pPr>
        <w:adjustRightInd w:val="0"/>
        <w:snapToGrid w:val="0"/>
        <w:spacing w:line="570" w:lineRule="exact"/>
        <w:ind w:firstLine="640" w:firstLineChars="200"/>
        <w:rPr>
          <w:rFonts w:hAnsi="仿宋_GB2312" w:cs="仿宋_GB2312"/>
        </w:rPr>
      </w:pPr>
      <w:r>
        <w:rPr>
          <w:rFonts w:hint="eastAsia" w:hAnsi="仿宋_GB2312" w:cs="仿宋_GB2312"/>
        </w:rPr>
        <w:t>（一）《中华人民共和国广告法》</w:t>
      </w:r>
    </w:p>
    <w:p>
      <w:pPr>
        <w:adjustRightInd w:val="0"/>
        <w:snapToGrid w:val="0"/>
        <w:spacing w:line="570" w:lineRule="exact"/>
        <w:ind w:firstLine="640" w:firstLineChars="200"/>
        <w:rPr>
          <w:rFonts w:hAnsi="仿宋_GB2312" w:cs="仿宋_GB2312"/>
        </w:rPr>
      </w:pPr>
      <w:r>
        <w:rPr>
          <w:rFonts w:hint="eastAsia" w:hAnsi="仿宋_GB2312" w:cs="仿宋_GB2312"/>
        </w:rPr>
        <w:t>（二）《互联网广告管理办法》</w:t>
      </w:r>
    </w:p>
    <w:p>
      <w:pPr>
        <w:adjustRightInd w:val="0"/>
        <w:snapToGrid w:val="0"/>
        <w:spacing w:line="570" w:lineRule="exact"/>
        <w:ind w:firstLine="640" w:firstLineChars="200"/>
        <w:rPr>
          <w:rFonts w:hAnsi="仿宋_GB2312" w:cs="仿宋_GB2312"/>
        </w:rPr>
      </w:pPr>
      <w:r>
        <w:rPr>
          <w:rFonts w:hint="eastAsia" w:hAnsi="仿宋_GB2312" w:cs="仿宋_GB2312"/>
        </w:rPr>
        <w:t>（三）《医疗广告管理办法》</w:t>
      </w:r>
    </w:p>
    <w:p>
      <w:pPr>
        <w:pStyle w:val="2"/>
        <w:spacing w:line="570" w:lineRule="exact"/>
        <w:ind w:firstLine="640" w:firstLineChars="200"/>
      </w:pPr>
      <w:r>
        <w:rPr>
          <w:rFonts w:hint="eastAsia" w:hAnsi="仿宋_GB2312" w:cs="仿宋_GB2312"/>
        </w:rPr>
        <w:t>（四）《药品、医疗器械、保健食品、特殊医学用途配方食品广告审查管理暂行办法》</w:t>
      </w:r>
    </w:p>
    <w:p>
      <w:pPr>
        <w:adjustRightInd w:val="0"/>
        <w:snapToGrid w:val="0"/>
        <w:spacing w:line="570" w:lineRule="exact"/>
        <w:ind w:firstLine="640" w:firstLineChars="200"/>
        <w:rPr>
          <w:rFonts w:ascii="黑体" w:hAnsi="黑体" w:eastAsia="黑体" w:cs="黑体"/>
        </w:rPr>
      </w:pPr>
      <w:r>
        <w:rPr>
          <w:rFonts w:hint="eastAsia" w:ascii="黑体" w:hAnsi="黑体" w:eastAsia="黑体" w:cs="黑体"/>
        </w:rPr>
        <w:t>三、有关要求</w:t>
      </w:r>
    </w:p>
    <w:p>
      <w:pPr>
        <w:adjustRightInd w:val="0"/>
        <w:snapToGrid w:val="0"/>
        <w:spacing w:line="570" w:lineRule="exact"/>
        <w:ind w:firstLine="640" w:firstLineChars="200"/>
        <w:rPr>
          <w:rFonts w:hAnsi="仿宋_GB2312" w:cs="仿宋_GB2312"/>
        </w:rPr>
      </w:pPr>
      <w:r>
        <w:rPr>
          <w:rFonts w:hint="eastAsia" w:ascii="楷体" w:hAnsi="楷体" w:eastAsia="楷体" w:cs="楷体"/>
        </w:rPr>
        <w:t>（一）加强督促指导。</w:t>
      </w:r>
      <w:r>
        <w:rPr>
          <w:rFonts w:hint="eastAsia" w:hAnsi="仿宋_GB2312" w:cs="仿宋_GB2312"/>
        </w:rPr>
        <w:t>要突出重点案件查办，加强案件指导调度，及时掌握工作动态，加强违法线索分析研判，发现跨区域重大案件线索及时上报，对重大违法线索实行挂牌督办。</w:t>
      </w:r>
    </w:p>
    <w:p>
      <w:pPr>
        <w:adjustRightInd w:val="0"/>
        <w:snapToGrid w:val="0"/>
        <w:spacing w:line="570" w:lineRule="exact"/>
        <w:ind w:firstLine="640" w:firstLineChars="200"/>
        <w:rPr>
          <w:rFonts w:hAnsi="仿宋_GB2312" w:cs="仿宋_GB2312"/>
        </w:rPr>
      </w:pPr>
      <w:r>
        <w:rPr>
          <w:rFonts w:hint="eastAsia" w:ascii="楷体" w:hAnsi="楷体" w:eastAsia="楷体" w:cs="楷体"/>
        </w:rPr>
        <w:t>（二）加强行刑衔接。</w:t>
      </w:r>
      <w:r>
        <w:rPr>
          <w:rFonts w:hint="eastAsia" w:hAnsi="仿宋_GB2312" w:cs="仿宋_GB2312"/>
        </w:rPr>
        <w:t>要用好用足法律手段，坚决严惩相关违法主体。对于广告违法行为情节恶劣涉嫌构成犯罪的，按规定移送司法机关追究刑事责任。</w:t>
      </w:r>
    </w:p>
    <w:p>
      <w:pPr>
        <w:pStyle w:val="11"/>
        <w:adjustRightInd w:val="0"/>
        <w:snapToGrid w:val="0"/>
        <w:spacing w:line="570" w:lineRule="exact"/>
        <w:ind w:firstLine="640" w:firstLineChars="200"/>
        <w:rPr>
          <w:rFonts w:ascii="仿宋_GB2312" w:hAnsi="仿宋_GB2312" w:cs="仿宋_GB2312"/>
        </w:rPr>
      </w:pPr>
      <w:r>
        <w:rPr>
          <w:rFonts w:hint="eastAsia" w:ascii="楷体" w:hAnsi="楷体" w:eastAsia="楷体" w:cs="楷体"/>
        </w:rPr>
        <w:t>（三）加强宣传引导。</w:t>
      </w:r>
      <w:r>
        <w:rPr>
          <w:rFonts w:hint="eastAsia" w:ascii="仿宋_GB2312" w:hAnsi="仿宋_GB2312" w:cs="仿宋_GB2312"/>
        </w:rPr>
        <w:t>要加强《广告法》等法律法规普法宣传，适时曝光广告典型案例。鼓励社会公众参与监督，共同维护良好广告市场秩序。</w:t>
      </w:r>
    </w:p>
    <w:p>
      <w:pPr>
        <w:spacing w:line="570" w:lineRule="exact"/>
        <w:ind w:firstLine="320" w:firstLineChars="100"/>
        <w:jc w:val="center"/>
        <w:rPr>
          <w:rFonts w:ascii="方正小标宋简体" w:hAnsi="方正小标宋简体" w:eastAsia="方正小标宋简体" w:cs="方正小标宋简体"/>
        </w:rPr>
      </w:pPr>
    </w:p>
    <w:p>
      <w:pPr>
        <w:spacing w:line="570" w:lineRule="exact"/>
        <w:ind w:firstLine="360" w:firstLineChars="1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十二、生产销售伪劣建材案件查处方案</w:t>
      </w:r>
    </w:p>
    <w:p>
      <w:pPr>
        <w:spacing w:line="570" w:lineRule="exact"/>
        <w:ind w:firstLine="616" w:firstLineChars="200"/>
        <w:rPr>
          <w:spacing w:val="-6"/>
        </w:rPr>
      </w:pPr>
    </w:p>
    <w:p>
      <w:pPr>
        <w:spacing w:line="570" w:lineRule="exact"/>
        <w:ind w:firstLine="616" w:firstLineChars="200"/>
        <w:rPr>
          <w:spacing w:val="-6"/>
        </w:rPr>
      </w:pPr>
      <w:r>
        <w:rPr>
          <w:rFonts w:hint="eastAsia"/>
          <w:spacing w:val="-6"/>
        </w:rPr>
        <w:t>建材产品质量事关建筑工程质量和人民生命、财产安全，必须清醒认识到其产品质量安全的极端特殊性和重要性，加大执法办案力度，对严重质量违法行为形成高压震慑。</w:t>
      </w:r>
    </w:p>
    <w:p>
      <w:pPr>
        <w:spacing w:line="570" w:lineRule="exact"/>
        <w:ind w:firstLine="616" w:firstLineChars="200"/>
        <w:rPr>
          <w:rFonts w:ascii="黑体" w:hAnsi="黑体" w:eastAsia="黑体" w:cs="黑体"/>
          <w:spacing w:val="-6"/>
        </w:rPr>
      </w:pPr>
      <w:r>
        <w:rPr>
          <w:rFonts w:hint="eastAsia" w:ascii="黑体" w:hAnsi="黑体" w:eastAsia="黑体" w:cs="黑体"/>
          <w:spacing w:val="-6"/>
        </w:rPr>
        <w:t>一、查处重点</w:t>
      </w:r>
    </w:p>
    <w:p>
      <w:pPr>
        <w:spacing w:line="570" w:lineRule="exact"/>
        <w:ind w:firstLine="616" w:firstLineChars="200"/>
        <w:rPr>
          <w:spacing w:val="-6"/>
        </w:rPr>
      </w:pPr>
      <w:r>
        <w:rPr>
          <w:rFonts w:hint="eastAsia" w:ascii="楷体" w:hAnsi="楷体" w:eastAsia="楷体" w:cs="楷体"/>
          <w:spacing w:val="-6"/>
        </w:rPr>
        <w:t>（一）严厉查办系列恶意违法案件。</w:t>
      </w:r>
      <w:r>
        <w:rPr>
          <w:rFonts w:hint="eastAsia"/>
          <w:spacing w:val="-6"/>
        </w:rPr>
        <w:t>以钢筋、水泥、电线电缆、外墙保温材料等建材产品为重点，严厉查处一批偷工减料、掺杂掺假、以假充真、以次充好、以不合格产品冒充合格产品，以及伪造产地、伪造或者冒用他人厂名厂址、伪造或者冒用质量标志或商标等违法案件。</w:t>
      </w:r>
    </w:p>
    <w:p>
      <w:pPr>
        <w:spacing w:line="570" w:lineRule="exact"/>
        <w:ind w:firstLine="616" w:firstLineChars="200"/>
        <w:rPr>
          <w:spacing w:val="-6"/>
        </w:rPr>
      </w:pPr>
      <w:r>
        <w:rPr>
          <w:rFonts w:hint="eastAsia" w:ascii="楷体" w:hAnsi="楷体" w:eastAsia="楷体" w:cs="楷体"/>
          <w:spacing w:val="-6"/>
        </w:rPr>
        <w:t>（二）严厉查办一批无证生产案件。</w:t>
      </w:r>
      <w:r>
        <w:rPr>
          <w:rFonts w:hint="eastAsia"/>
          <w:spacing w:val="-6"/>
        </w:rPr>
        <w:t>严厉查办一批未按规定要求取得生产许可证或强制性产品认证而擅自生产、销售，以及生产销售“三无”产品、不依法依标准规定标注标准等违法案件。重点关注水泥产品，受低效产能淘汰退出影响，存在企业无证生产风险，特别是</w:t>
      </w:r>
      <w:r>
        <w:rPr>
          <w:rFonts w:hint="eastAsia" w:hAnsi="仿宋"/>
        </w:rPr>
        <w:t>部分已注销水泥生产许可证的企业改为矿渣粉加工企业，生产设备、设施与水泥生产工艺近似，无证生产风险较高。</w:t>
      </w:r>
    </w:p>
    <w:p>
      <w:pPr>
        <w:spacing w:line="570" w:lineRule="exact"/>
        <w:ind w:firstLine="616" w:firstLineChars="200"/>
        <w:rPr>
          <w:spacing w:val="-6"/>
        </w:rPr>
      </w:pPr>
      <w:r>
        <w:rPr>
          <w:rFonts w:hint="eastAsia" w:ascii="楷体" w:hAnsi="楷体" w:eastAsia="楷体" w:cs="楷体"/>
          <w:spacing w:val="-6"/>
        </w:rPr>
        <w:t>（三）强化重点领域和区域执法办案。</w:t>
      </w:r>
      <w:r>
        <w:rPr>
          <w:rFonts w:hint="eastAsia"/>
          <w:spacing w:val="-6"/>
        </w:rPr>
        <w:t>加强流通领域，特别是大型建材市场、批发市场及其仓库、城乡结合部和农村集中销售场所等重点区域执法力度，</w:t>
      </w:r>
      <w:r>
        <w:rPr>
          <w:rFonts w:hint="eastAsia" w:hAnsi="仿宋_GB2312"/>
        </w:rPr>
        <w:t>根据有关通报或投诉举报信息，依法依规查处浮桥吊桥、玻璃栈道类设施项目建筑材料质量违法行为。</w:t>
      </w:r>
    </w:p>
    <w:p>
      <w:pPr>
        <w:spacing w:line="570" w:lineRule="exact"/>
        <w:ind w:firstLine="616" w:firstLineChars="200"/>
        <w:rPr>
          <w:rFonts w:ascii="黑体" w:hAnsi="黑体" w:eastAsia="黑体" w:cs="黑体"/>
          <w:spacing w:val="-6"/>
        </w:rPr>
      </w:pPr>
      <w:r>
        <w:rPr>
          <w:rFonts w:hint="eastAsia" w:ascii="黑体" w:hAnsi="黑体" w:eastAsia="黑体" w:cs="黑体"/>
          <w:spacing w:val="-6"/>
        </w:rPr>
        <w:t>二、查处依据</w:t>
      </w:r>
    </w:p>
    <w:p>
      <w:pPr>
        <w:spacing w:line="570" w:lineRule="exact"/>
        <w:ind w:firstLine="616" w:firstLineChars="200"/>
        <w:rPr>
          <w:spacing w:val="-6"/>
        </w:rPr>
      </w:pPr>
      <w:r>
        <w:rPr>
          <w:rFonts w:hint="eastAsia"/>
          <w:spacing w:val="-6"/>
        </w:rPr>
        <w:t>（一）《产品质量法》第四十九、五十、五十一、五十三、五十四条。</w:t>
      </w:r>
    </w:p>
    <w:p>
      <w:pPr>
        <w:spacing w:line="570" w:lineRule="exact"/>
        <w:ind w:firstLine="616" w:firstLineChars="200"/>
        <w:rPr>
          <w:spacing w:val="-6"/>
        </w:rPr>
      </w:pPr>
      <w:r>
        <w:rPr>
          <w:rFonts w:hint="eastAsia"/>
          <w:spacing w:val="-6"/>
        </w:rPr>
        <w:t>（二）《工业产品生产许可证管理条例》第四十五、四十六、四十七、四十八、四十九条。</w:t>
      </w:r>
    </w:p>
    <w:p>
      <w:pPr>
        <w:spacing w:line="570" w:lineRule="exact"/>
        <w:ind w:firstLine="616" w:firstLineChars="200"/>
        <w:rPr>
          <w:rFonts w:ascii="楷体" w:hAnsi="楷体" w:eastAsia="楷体" w:cs="楷体"/>
          <w:bCs/>
          <w:spacing w:val="-6"/>
        </w:rPr>
      </w:pPr>
      <w:r>
        <w:rPr>
          <w:rFonts w:hint="eastAsia"/>
          <w:spacing w:val="-6"/>
        </w:rPr>
        <w:t>（三）《认证认可条例》第六十六条。</w:t>
      </w:r>
    </w:p>
    <w:p>
      <w:pPr>
        <w:spacing w:line="570" w:lineRule="exact"/>
        <w:ind w:firstLine="616" w:firstLineChars="200"/>
        <w:rPr>
          <w:spacing w:val="-6"/>
        </w:rPr>
      </w:pPr>
      <w:r>
        <w:rPr>
          <w:rFonts w:hint="eastAsia"/>
          <w:spacing w:val="-6"/>
        </w:rPr>
        <w:t>（四）《商标法》第六十条。</w:t>
      </w:r>
    </w:p>
    <w:p>
      <w:pPr>
        <w:spacing w:line="570" w:lineRule="exact"/>
        <w:ind w:firstLine="616" w:firstLineChars="200"/>
        <w:rPr>
          <w:spacing w:val="-6"/>
        </w:rPr>
      </w:pPr>
      <w:r>
        <w:rPr>
          <w:rFonts w:hint="eastAsia"/>
          <w:spacing w:val="-6"/>
        </w:rPr>
        <w:t>（五）《无证无照经营查处办法》第十三条等。</w:t>
      </w:r>
    </w:p>
    <w:p>
      <w:pPr>
        <w:spacing w:line="570" w:lineRule="exact"/>
        <w:ind w:firstLine="616" w:firstLineChars="200"/>
        <w:rPr>
          <w:rFonts w:ascii="黑体" w:hAnsi="黑体" w:eastAsia="黑体" w:cs="黑体"/>
          <w:spacing w:val="-6"/>
        </w:rPr>
      </w:pPr>
      <w:r>
        <w:rPr>
          <w:rFonts w:hint="eastAsia" w:ascii="黑体" w:hAnsi="黑体" w:eastAsia="黑体" w:cs="黑体"/>
          <w:spacing w:val="-6"/>
        </w:rPr>
        <w:t>三、工作要求</w:t>
      </w:r>
    </w:p>
    <w:p>
      <w:pPr>
        <w:spacing w:line="570" w:lineRule="exact"/>
        <w:ind w:firstLine="616" w:firstLineChars="200"/>
        <w:rPr>
          <w:spacing w:val="-6"/>
        </w:rPr>
      </w:pPr>
      <w:r>
        <w:rPr>
          <w:rFonts w:hint="eastAsia" w:ascii="楷体" w:hAnsi="楷体" w:eastAsia="楷体" w:cs="楷体"/>
          <w:spacing w:val="-6"/>
        </w:rPr>
        <w:t>（一）加大大案要案办理。</w:t>
      </w:r>
      <w:r>
        <w:rPr>
          <w:rFonts w:hint="eastAsia"/>
          <w:spacing w:val="-6"/>
        </w:rPr>
        <w:t>建立健全大案要案查办督办制度，对于发现生产、销售劣质水泥、“瘦身钢筋”“打折电缆”等典型质量违法行为，要切实加大案件查办力度，</w:t>
      </w:r>
      <w:r>
        <w:rPr>
          <w:spacing w:val="-6"/>
        </w:rPr>
        <w:t>涉嫌犯罪的，</w:t>
      </w:r>
      <w:r>
        <w:rPr>
          <w:rFonts w:hint="eastAsia"/>
          <w:spacing w:val="-6"/>
        </w:rPr>
        <w:t>坚决</w:t>
      </w:r>
      <w:r>
        <w:rPr>
          <w:spacing w:val="-6"/>
        </w:rPr>
        <w:t>移送司法机关处理。</w:t>
      </w:r>
      <w:r>
        <w:rPr>
          <w:rFonts w:hint="eastAsia" w:hAnsi="仿宋_GB2312" w:cs="仿宋_GB2312"/>
        </w:rPr>
        <w:t>对制假“黑窝点”，要报请当地政府予以取缔。持续</w:t>
      </w:r>
      <w:r>
        <w:rPr>
          <w:rFonts w:hint="eastAsia"/>
          <w:spacing w:val="-6"/>
        </w:rPr>
        <w:t>加大典型案件曝光力度，强力震慑违法犯罪行为。</w:t>
      </w:r>
    </w:p>
    <w:p>
      <w:pPr>
        <w:spacing w:line="570" w:lineRule="exact"/>
        <w:ind w:firstLine="616" w:firstLineChars="200"/>
        <w:rPr>
          <w:spacing w:val="-6"/>
        </w:rPr>
      </w:pPr>
      <w:r>
        <w:rPr>
          <w:rFonts w:hint="eastAsia" w:ascii="楷体" w:hAnsi="楷体" w:eastAsia="楷体" w:cs="楷体"/>
          <w:spacing w:val="-6"/>
        </w:rPr>
        <w:t>（二）充分发挥社会监督作用。</w:t>
      </w:r>
      <w:r>
        <w:rPr>
          <w:rFonts w:hint="eastAsia"/>
          <w:spacing w:val="-6"/>
        </w:rPr>
        <w:t>畅通消费者维权渠道，高度重视12345热线、局长信箱等渠道投诉举报件办理，切实维护企业和用户合法权益。对群众举报的线索，尤其是对于行业协会和企业举报、反映的线索，要认真核查，重点突破。</w:t>
      </w:r>
    </w:p>
    <w:p>
      <w:pPr>
        <w:adjustRightInd w:val="0"/>
        <w:snapToGrid w:val="0"/>
        <w:spacing w:line="570" w:lineRule="exact"/>
        <w:jc w:val="center"/>
        <w:rPr>
          <w:rFonts w:ascii="方正小标宋简体" w:hAnsi="方正小标宋简体" w:eastAsia="方正小标宋简体" w:cs="方正小标宋简体"/>
        </w:rPr>
      </w:pPr>
    </w:p>
    <w:p>
      <w:pPr>
        <w:adjustRightInd w:val="0"/>
        <w:snapToGrid w:val="0"/>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十三、肉及肉制品掺假掺杂等案件查处方案</w:t>
      </w:r>
    </w:p>
    <w:p>
      <w:pPr>
        <w:spacing w:line="570" w:lineRule="exact"/>
        <w:jc w:val="center"/>
        <w:rPr>
          <w:rFonts w:ascii="方正小标宋简体" w:hAnsi="方正小标宋简体" w:eastAsia="方正小标宋简体" w:cs="方正小标宋简体"/>
        </w:rPr>
      </w:pPr>
    </w:p>
    <w:p>
      <w:pPr>
        <w:spacing w:line="570" w:lineRule="exact"/>
        <w:ind w:firstLine="616" w:firstLineChars="200"/>
        <w:rPr>
          <w:spacing w:val="-6"/>
        </w:rPr>
      </w:pPr>
      <w:r>
        <w:rPr>
          <w:rFonts w:hint="eastAsia"/>
          <w:spacing w:val="-6"/>
        </w:rPr>
        <w:t>近年来，肉及肉制品市场需求持续增长，市场规模不断扩大。我省是肉及肉制品生产、经营、消费大省，相关产品种类丰富，满足了人民群众的多样化需求，但非法使用“瘦肉精”、药残超标、掺假掺杂等问题仍然突出。执法人员应强化案源发现、现场检查、检验检测、行刑衔接等方面工作，严厉打击相关违法行为，净化我省肉及肉制品市场环境，保障人民群众对高品质、健康肉及肉制品的需求。</w:t>
      </w:r>
    </w:p>
    <w:p>
      <w:pPr>
        <w:spacing w:line="570" w:lineRule="exact"/>
        <w:ind w:firstLine="616" w:firstLineChars="200"/>
        <w:rPr>
          <w:rFonts w:ascii="黑体" w:hAnsi="黑体" w:eastAsia="黑体" w:cs="黑体"/>
          <w:spacing w:val="-6"/>
        </w:rPr>
      </w:pPr>
      <w:r>
        <w:rPr>
          <w:rFonts w:hint="eastAsia" w:ascii="黑体" w:hAnsi="黑体" w:eastAsia="黑体" w:cs="黑体"/>
          <w:spacing w:val="-6"/>
        </w:rPr>
        <w:t>一、查处重点</w:t>
      </w:r>
    </w:p>
    <w:p>
      <w:pPr>
        <w:spacing w:line="570" w:lineRule="exact"/>
        <w:ind w:firstLine="616" w:firstLineChars="200"/>
        <w:rPr>
          <w:rFonts w:hAnsi="仿宋_GB2312" w:cs="仿宋_GB2312"/>
          <w:spacing w:val="-6"/>
        </w:rPr>
      </w:pPr>
      <w:r>
        <w:rPr>
          <w:rFonts w:hint="eastAsia" w:hAnsi="仿宋_GB2312" w:cs="仿宋_GB2312"/>
          <w:spacing w:val="-6"/>
        </w:rPr>
        <w:t>（一）严厉查处非法使用鸡肉、猪肉、鸭肉</w:t>
      </w:r>
      <w:r>
        <w:rPr>
          <w:rFonts w:hint="eastAsia" w:hAnsi="仿宋_GB2312" w:cs="仿宋_GB2312"/>
          <w:spacing w:val="-6"/>
          <w:lang w:eastAsia="zh-CN"/>
        </w:rPr>
        <w:t>等其他肉类</w:t>
      </w:r>
      <w:r>
        <w:rPr>
          <w:rFonts w:hint="eastAsia" w:hAnsi="仿宋_GB2312" w:cs="仿宋_GB2312"/>
          <w:spacing w:val="-6"/>
        </w:rPr>
        <w:t>冒充牛羊肉等掺假掺杂的违法行为。</w:t>
      </w:r>
    </w:p>
    <w:p>
      <w:pPr>
        <w:spacing w:line="570" w:lineRule="exact"/>
        <w:ind w:firstLine="616" w:firstLineChars="200"/>
        <w:rPr>
          <w:rFonts w:hAnsi="仿宋_GB2312" w:cs="仿宋_GB2312"/>
          <w:spacing w:val="-6"/>
        </w:rPr>
      </w:pPr>
      <w:r>
        <w:rPr>
          <w:rFonts w:hint="eastAsia" w:hAnsi="仿宋_GB2312" w:cs="仿宋_GB2312"/>
          <w:spacing w:val="-6"/>
        </w:rPr>
        <w:t>（二）严厉查处经营未按规定进行检疫或者检疫不合格的肉类，或者生产经营未经检验或者检验不合格的肉类制品的违法行为。</w:t>
      </w:r>
    </w:p>
    <w:p>
      <w:pPr>
        <w:spacing w:line="570" w:lineRule="exact"/>
        <w:ind w:firstLine="616" w:firstLineChars="200"/>
        <w:rPr>
          <w:rFonts w:hAnsi="仿宋_GB2312" w:cs="仿宋_GB2312"/>
          <w:spacing w:val="-6"/>
        </w:rPr>
      </w:pPr>
      <w:r>
        <w:rPr>
          <w:rFonts w:hint="eastAsia" w:hAnsi="仿宋_GB2312" w:cs="仿宋_GB2312"/>
          <w:spacing w:val="-6"/>
        </w:rPr>
        <w:t>（三）严厉查处经营病死、毒死或者死因不明的禽、畜、兽、水产动物肉类，或者生产经营其制品的违法行为。</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（四）</w:t>
      </w:r>
      <w:r>
        <w:rPr>
          <w:rFonts w:hint="eastAsia" w:hAnsi="仿宋_GB2312" w:cs="仿宋_GB2312"/>
          <w:spacing w:val="-6"/>
        </w:rPr>
        <w:t>严厉查处以水貂肉、狐狸肉、貉肉等非食用动物为原料生产食品，或经营上述食品的违法行为。</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（五）严厉查处生产经营药物残留超过食品安全标准食品的违法行为。</w:t>
      </w:r>
    </w:p>
    <w:p>
      <w:pPr>
        <w:spacing w:line="570" w:lineRule="exact"/>
        <w:ind w:firstLine="616" w:firstLineChars="200"/>
        <w:rPr>
          <w:rFonts w:ascii="黑体" w:hAnsi="黑体" w:eastAsia="黑体" w:cs="黑体"/>
          <w:spacing w:val="-6"/>
        </w:rPr>
      </w:pPr>
      <w:r>
        <w:rPr>
          <w:rFonts w:hint="eastAsia" w:ascii="黑体" w:hAnsi="黑体" w:eastAsia="黑体" w:cs="黑体"/>
          <w:spacing w:val="-6"/>
        </w:rPr>
        <w:t>二、查处依据</w:t>
      </w:r>
    </w:p>
    <w:p>
      <w:pPr>
        <w:spacing w:line="570" w:lineRule="exact"/>
        <w:ind w:firstLine="640" w:firstLineChars="200"/>
        <w:rPr>
          <w:rFonts w:hAnsi="仿宋_GB2312" w:cs="仿宋_GB2312"/>
          <w:color w:val="000000" w:themeColor="text1"/>
        </w:rPr>
      </w:pPr>
      <w:r>
        <w:rPr>
          <w:rFonts w:hint="eastAsia"/>
        </w:rPr>
        <w:t>（一）</w:t>
      </w:r>
      <w:r>
        <w:rPr>
          <w:rFonts w:hint="eastAsia" w:hAnsi="仿宋_GB2312" w:cs="仿宋_GB2312"/>
          <w:color w:val="000000" w:themeColor="text1"/>
        </w:rPr>
        <w:t>《中华人民共和国食品安全法》。</w:t>
      </w:r>
    </w:p>
    <w:p>
      <w:pPr>
        <w:spacing w:line="570" w:lineRule="exact"/>
        <w:ind w:firstLine="640" w:firstLineChars="200"/>
        <w:rPr>
          <w:rFonts w:hAnsi="仿宋_GB2312" w:cs="仿宋_GB2312"/>
          <w:color w:val="000000" w:themeColor="text1"/>
        </w:rPr>
      </w:pPr>
      <w:r>
        <w:rPr>
          <w:rFonts w:hint="eastAsia" w:hAnsi="仿宋_GB2312" w:cs="仿宋_GB2312"/>
          <w:color w:val="000000" w:themeColor="text1"/>
        </w:rPr>
        <w:t>（二）《中华人民共和国食品安全法实施条例》。</w:t>
      </w:r>
    </w:p>
    <w:p>
      <w:pPr>
        <w:spacing w:line="570" w:lineRule="exact"/>
        <w:ind w:firstLine="640" w:firstLineChars="200"/>
      </w:pPr>
      <w:r>
        <w:rPr>
          <w:rFonts w:hint="eastAsia" w:hAnsi="仿宋_GB2312" w:cs="仿宋_GB2312"/>
          <w:color w:val="000000" w:themeColor="text1"/>
        </w:rPr>
        <w:t>（三）</w:t>
      </w:r>
      <w:r>
        <w:rPr>
          <w:rFonts w:hint="eastAsia"/>
          <w:color w:val="000000" w:themeColor="text1"/>
        </w:rPr>
        <w:t>《中华人民共和国刑法》及《关于办理危害食品安全刑事案件适用法律若干问题的解释》（法释〔2021〕24号）等相关规定做好行刑衔接工作。</w:t>
      </w:r>
    </w:p>
    <w:p>
      <w:pPr>
        <w:spacing w:line="570" w:lineRule="exact"/>
        <w:ind w:firstLine="616" w:firstLineChars="200"/>
        <w:rPr>
          <w:rFonts w:ascii="黑体" w:hAnsi="黑体" w:eastAsia="黑体" w:cs="黑体"/>
          <w:spacing w:val="-6"/>
        </w:rPr>
      </w:pPr>
      <w:r>
        <w:rPr>
          <w:rFonts w:hint="eastAsia" w:ascii="黑体" w:hAnsi="黑体" w:eastAsia="黑体" w:cs="黑体"/>
          <w:spacing w:val="-6"/>
        </w:rPr>
        <w:t>三、有关要求</w:t>
      </w:r>
    </w:p>
    <w:p>
      <w:pPr>
        <w:spacing w:line="570" w:lineRule="exact"/>
        <w:ind w:firstLine="616" w:firstLineChars="200"/>
        <w:rPr>
          <w:rFonts w:hAnsi="仿宋_GB2312" w:cs="仿宋_GB2312"/>
          <w:spacing w:val="-6"/>
        </w:rPr>
      </w:pPr>
      <w:r>
        <w:rPr>
          <w:rFonts w:hint="eastAsia" w:hAnsi="仿宋_GB2312" w:cs="仿宋_GB2312"/>
          <w:spacing w:val="-6"/>
        </w:rPr>
        <w:t>（一）加大案源搜集力度，特别关注投诉举报、检验报告、舆情信息等案件线索。在检查中要加强对相关生产企业、仓储冷库、农贸市场、餐饮店铺、电商平台的线索摸排，重点关注餐饮环节肉及肉制品消费量较大的火锅店、烧烤店等，从生产和经营两端共同发力排查相关违法行为，做到科学研判、精准识别、有力打击。</w:t>
      </w:r>
    </w:p>
    <w:p>
      <w:pPr>
        <w:spacing w:line="570" w:lineRule="exact"/>
        <w:ind w:firstLine="616" w:firstLineChars="200"/>
        <w:rPr>
          <w:rFonts w:hAnsi="仿宋_GB2312" w:cs="仿宋_GB2312"/>
          <w:spacing w:val="-6"/>
        </w:rPr>
      </w:pPr>
      <w:r>
        <w:rPr>
          <w:rFonts w:hint="eastAsia" w:hAnsi="仿宋_GB2312" w:cs="仿宋_GB2312"/>
          <w:spacing w:val="-6"/>
        </w:rPr>
        <w:t>（二）对违法行为应坚持从生产到经营环节全链条查处</w:t>
      </w:r>
      <w:r>
        <w:rPr>
          <w:rFonts w:hint="eastAsia" w:hAnsi="仿宋_GB2312" w:cs="仿宋_GB2312"/>
        </w:rPr>
        <w:t>，</w:t>
      </w:r>
      <w:r>
        <w:rPr>
          <w:rFonts w:hint="eastAsia" w:hAnsi="仿宋_GB2312" w:cs="仿宋_GB2312"/>
          <w:spacing w:val="-6"/>
        </w:rPr>
        <w:t>做到上游下游一起打、源头末端一起查，追根溯源、循线深挖，彻底打穿打透，强力震慑违法行为。对于案情重大、查办难度大的案件，领导要主动盯靠，加强会商研判，必要时报请上级挂牌督办。</w:t>
      </w:r>
    </w:p>
    <w:p>
      <w:pPr>
        <w:spacing w:line="570" w:lineRule="exact"/>
        <w:ind w:firstLine="616" w:firstLineChars="200"/>
        <w:rPr>
          <w:rFonts w:hAnsi="仿宋_GB2312" w:cs="仿宋_GB2312"/>
          <w:spacing w:val="-6"/>
        </w:rPr>
      </w:pPr>
      <w:r>
        <w:rPr>
          <w:rFonts w:hint="eastAsia" w:hAnsi="仿宋_GB2312" w:cs="仿宋_GB2312"/>
          <w:spacing w:val="-6"/>
        </w:rPr>
        <w:t>（三）注重与系统内同级业务部门和上下级部门的协作配合，加强与公安、畜牧等有关部门的沟通协调，进一步畅通信息共享、情况通报、检测鉴定、涉案物品处置等工作渠道，积极开展联合执法、行刑联动，切实形成打击合力。</w:t>
      </w:r>
    </w:p>
    <w:p>
      <w:pPr>
        <w:adjustRightInd w:val="0"/>
        <w:snapToGrid w:val="0"/>
        <w:spacing w:line="570" w:lineRule="exact"/>
        <w:jc w:val="center"/>
        <w:rPr>
          <w:rFonts w:ascii="方正小标宋简体" w:hAnsi="方正小标宋简体" w:eastAsia="方正小标宋简体" w:cs="方正小标宋简体"/>
        </w:rPr>
      </w:pPr>
    </w:p>
    <w:p>
      <w:pPr>
        <w:adjustRightInd w:val="0"/>
        <w:snapToGrid w:val="0"/>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十四、气瓶违法充装案件查处方案</w:t>
      </w:r>
    </w:p>
    <w:p>
      <w:pPr>
        <w:spacing w:line="570" w:lineRule="exact"/>
        <w:ind w:firstLine="640" w:firstLineChars="200"/>
      </w:pPr>
    </w:p>
    <w:p>
      <w:pPr>
        <w:spacing w:line="570" w:lineRule="exact"/>
        <w:ind w:firstLine="640" w:firstLineChars="200"/>
      </w:pPr>
      <w:r>
        <w:rPr>
          <w:rFonts w:hint="eastAsia"/>
        </w:rPr>
        <w:t>根据《特种设备安全法》等法律法规要求，加大气瓶违法充装行为查处力度，对充装非自有产权气瓶、气瓶检验机构出具虚假报告等行为实施重点打击。</w:t>
      </w:r>
    </w:p>
    <w:p>
      <w:pPr>
        <w:spacing w:line="570" w:lineRule="exact"/>
        <w:ind w:firstLine="640" w:firstLineChars="200"/>
        <w:rPr>
          <w:rFonts w:ascii="黑体" w:hAnsi="黑体" w:eastAsia="黑体"/>
        </w:rPr>
      </w:pPr>
      <w:r>
        <w:rPr>
          <w:rFonts w:hint="eastAsia" w:ascii="黑体" w:hAnsi="黑体" w:eastAsia="黑体"/>
        </w:rPr>
        <w:t>一、查处重点</w:t>
      </w:r>
    </w:p>
    <w:p>
      <w:pPr>
        <w:spacing w:line="570" w:lineRule="exact"/>
        <w:ind w:firstLine="640" w:firstLineChars="200"/>
      </w:pPr>
      <w:r>
        <w:rPr>
          <w:rFonts w:hint="eastAsia" w:ascii="楷体" w:hAnsi="楷体" w:eastAsia="楷体"/>
        </w:rPr>
        <w:t>（一）加强气瓶充装单位监督检查</w:t>
      </w:r>
      <w:r>
        <w:rPr>
          <w:rFonts w:hint="eastAsia"/>
        </w:rPr>
        <w:t>。排查气瓶充装单位，重点查处无证充装、充装非自有产权气瓶、在用气瓶未办理使用登记、未按照规定实施充装前后检查和记录制度、缺少紧急切断装置、安全装置失效等违法违规行为。</w:t>
      </w:r>
    </w:p>
    <w:p>
      <w:pPr>
        <w:spacing w:line="570" w:lineRule="exact"/>
        <w:ind w:firstLine="640" w:firstLineChars="200"/>
      </w:pPr>
      <w:r>
        <w:rPr>
          <w:rFonts w:hint="eastAsia" w:ascii="楷体" w:hAnsi="楷体" w:eastAsia="楷体"/>
        </w:rPr>
        <w:t>（二）加强气瓶检验机构监督检查</w:t>
      </w:r>
      <w:r>
        <w:rPr>
          <w:rFonts w:hint="eastAsia"/>
        </w:rPr>
        <w:t>。排查气瓶检验机构人员或设备不符合许可条件、出具虚假检验报告等违法违规行为。</w:t>
      </w:r>
    </w:p>
    <w:p>
      <w:pPr>
        <w:spacing w:line="570" w:lineRule="exact"/>
        <w:ind w:firstLine="640" w:firstLineChars="200"/>
        <w:rPr>
          <w:rFonts w:ascii="黑体" w:hAnsi="黑体" w:eastAsia="黑体"/>
        </w:rPr>
      </w:pPr>
      <w:r>
        <w:rPr>
          <w:rFonts w:hint="eastAsia" w:ascii="黑体" w:hAnsi="黑体" w:eastAsia="黑体"/>
        </w:rPr>
        <w:t>二、查处依据</w:t>
      </w:r>
    </w:p>
    <w:p>
      <w:pPr>
        <w:spacing w:line="570" w:lineRule="exact"/>
        <w:ind w:firstLine="640" w:firstLineChars="200"/>
      </w:pPr>
      <w:r>
        <w:rPr>
          <w:rFonts w:hint="eastAsia"/>
        </w:rPr>
        <w:t>（一）《特种设备安全法》第八十三条、第八十五条</w:t>
      </w:r>
      <w:r>
        <w:rPr>
          <w:rFonts w:hint="eastAsia"/>
          <w:lang w:eastAsia="zh-CN"/>
        </w:rPr>
        <w:t>、第</w:t>
      </w:r>
      <w:r>
        <w:rPr>
          <w:rFonts w:hint="eastAsia"/>
        </w:rPr>
        <w:t>九十三条等。</w:t>
      </w:r>
    </w:p>
    <w:p>
      <w:pPr>
        <w:spacing w:line="570" w:lineRule="exact"/>
        <w:ind w:firstLine="640" w:firstLineChars="200"/>
      </w:pPr>
      <w:r>
        <w:rPr>
          <w:rFonts w:hint="eastAsia"/>
        </w:rPr>
        <w:t>（二）《特种设备安全监察条例》第八十条、八十二条、八十三条、九十二条、九十三条、九十四条、九十五条、九十六条、九十八条等。</w:t>
      </w:r>
    </w:p>
    <w:p>
      <w:pPr>
        <w:spacing w:line="570" w:lineRule="exact"/>
        <w:ind w:firstLine="640" w:firstLineChars="200"/>
      </w:pPr>
      <w:r>
        <w:rPr>
          <w:rFonts w:hint="eastAsia"/>
        </w:rPr>
        <w:t>（三）《特种设备使用管理规则》（</w:t>
      </w:r>
      <w:r>
        <w:t>TSG 08-2017</w:t>
      </w:r>
      <w:r>
        <w:rPr>
          <w:rFonts w:hint="eastAsia"/>
        </w:rPr>
        <w:t>）。</w:t>
      </w:r>
    </w:p>
    <w:p>
      <w:pPr>
        <w:spacing w:line="570" w:lineRule="exact"/>
        <w:ind w:firstLine="640" w:firstLineChars="200"/>
      </w:pPr>
      <w:r>
        <w:rPr>
          <w:rFonts w:hint="eastAsia"/>
        </w:rPr>
        <w:t>（四）《特种设备生产单位和充装单位许可规则》(TSG07-2019)。</w:t>
      </w:r>
    </w:p>
    <w:p>
      <w:pPr>
        <w:spacing w:line="570" w:lineRule="exact"/>
        <w:ind w:firstLine="640" w:firstLineChars="200"/>
      </w:pPr>
      <w:r>
        <w:rPr>
          <w:rFonts w:hint="eastAsia"/>
        </w:rPr>
        <w:t>（五）《特种设备检验机构核准规则》(TSG Z7001—2021)。</w:t>
      </w:r>
    </w:p>
    <w:p>
      <w:pPr>
        <w:spacing w:line="570" w:lineRule="exact"/>
        <w:ind w:firstLine="640" w:firstLineChars="200"/>
        <w:rPr>
          <w:rFonts w:ascii="黑体" w:hAnsi="黑体" w:eastAsia="黑体"/>
        </w:rPr>
      </w:pPr>
      <w:r>
        <w:rPr>
          <w:rFonts w:hint="eastAsia" w:ascii="黑体" w:hAnsi="黑体" w:eastAsia="黑体"/>
        </w:rPr>
        <w:t>三、有关要求</w:t>
      </w:r>
    </w:p>
    <w:p>
      <w:pPr>
        <w:spacing w:line="570" w:lineRule="exact"/>
        <w:ind w:firstLine="640" w:firstLineChars="200"/>
      </w:pPr>
      <w:r>
        <w:rPr>
          <w:rFonts w:hint="eastAsia"/>
        </w:rPr>
        <w:t>（一）加大信息数据搜集力度，多渠道获取办案线索，将有关投诉举报、舆情信息等作为案件线索，落实属地查处，推动社会共治。畅通举报渠道，做到精准打击违法行为。</w:t>
      </w:r>
    </w:p>
    <w:p>
      <w:pPr>
        <w:spacing w:line="570" w:lineRule="exact"/>
        <w:ind w:firstLine="640" w:firstLineChars="200"/>
      </w:pPr>
      <w:r>
        <w:rPr>
          <w:rFonts w:hint="eastAsia"/>
        </w:rPr>
        <w:t>（二）采取“四不两直”和“飞行检查”等方式加大监管力度，对气瓶充装和检验机构违法违规行为依法严厉处罚，并及时向社会公布案件信息。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pPr>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十五、</w:t>
      </w:r>
      <w:r>
        <w:rPr>
          <w:rFonts w:hint="eastAsia" w:ascii="方正小标宋简体" w:hAnsi="方正小标宋简体" w:eastAsia="方正小标宋简体" w:cs="方正小标宋简体"/>
          <w:sz w:val="36"/>
          <w:szCs w:val="36"/>
        </w:rPr>
        <w:t>制售“山寨”商品行为</w:t>
      </w:r>
    </w:p>
    <w:p>
      <w:pPr>
        <w:adjustRightInd w:val="0"/>
        <w:snapToGrid w:val="0"/>
        <w:spacing w:line="560" w:lineRule="exact"/>
        <w:jc w:val="center"/>
        <w:rPr>
          <w:rFonts w:hint="eastAsia" w:ascii="黑体" w:hAnsi="黑体" w:eastAsia="黑体" w:cs="黑体"/>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我国全面建成小康社会，创新环境持续改善，人民对打击“山寨”商品的期望和要求也越来越高。不法分子制售仿冒知名品牌、包装样式图案与热销商品近似等“山寨”现象仍时有发生，迫切需要依法严厉查处“山寨”商品等侵权假冒违法行为，切实保护消费者、正规厂家的合法权益。</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一、重点任务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以仿冒知名品牌及包装样式图案与热销商品近似等侵权假冒行为为重点，严厉查处以下违法行为：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（一）擅自使用与他人有一定影响的商品名称、包装、装潢等相同或者近似的标识；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（二）擅自使用与他人有一定影响的市场主体名称（包括简称、字号等）、社会组织名称（包括简称等）、姓名（包括笔名、艺名、译名等）等相同或者近似的标识；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（三）擅自使用与他人有一定影响的域名主体部分、网站名称、页面设计、自媒体名称、应用软件名称或者图标等相同或者近似的标识或者页面；</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（四）擅自将他人有一定影响的商业标识设置为搜索关键词，误导相关公众的；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（五）其他足以引人误认为是他人商品或者与他人存在特定联系的混淆行为。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（六）经营者</w:t>
      </w:r>
      <w:r>
        <w:rPr>
          <w:rFonts w:hint="eastAsia" w:hAnsi="仿宋_GB2312" w:cs="仿宋_GB2312"/>
          <w:sz w:val="32"/>
          <w:szCs w:val="32"/>
          <w:lang w:eastAsia="zh-CN"/>
        </w:rPr>
        <w:t>销售</w:t>
      </w:r>
      <w:r>
        <w:rPr>
          <w:rFonts w:hint="eastAsia" w:ascii="仿宋_GB2312" w:hAnsi="仿宋_GB2312" w:eastAsia="仿宋_GB2312" w:cs="仿宋_GB2312"/>
          <w:sz w:val="32"/>
          <w:szCs w:val="32"/>
        </w:rPr>
        <w:t>前五条规定的混淆商品，以及为实施混淆行为提供仓储、运输、邮寄、印制、隐匿、经营场所等便利条件等违法行为。</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二、查处依据</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（一）《反不正当竞争法》第六条、第十八条等。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三、有关要求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（一）充分发挥执法联络员作用，强化跨区域、跨部门协同联动，对制售“山寨”商品行为追踪溯源，并追查包装标识违法印制主体。</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（二）围绕“山寨”商品销售的重点时机和重点市场，加强监管执法，一旦发现“山寨”商品，循线追查上游销售商和生产源头，组织开展联合执法，构建覆盖生产、经营、流通的全链条办案模式。</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（三）加强与被侵权人的沟通联系，积极发挥被侵权人在违法线索提供、侵权调查、商品鉴别、信息溯源中的作用，为案件查办工作提供支撑。</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十六、生产经营超范围、超限量使用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食品添加剂食品案件查处方案</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食品中</w:t>
      </w:r>
      <w:r>
        <w:rPr>
          <w:rFonts w:hint="eastAsia" w:ascii="仿宋_GB2312" w:hAnsi="仿宋_GB2312" w:eastAsia="仿宋_GB2312" w:cs="仿宋_GB2312"/>
          <w:color w:val="000000"/>
          <w:sz w:val="32"/>
          <w:szCs w:val="32"/>
          <w:lang w:val="en-US" w:eastAsia="zh-CN"/>
        </w:rPr>
        <w:t>超范围、超限量使用食品添加剂</w:t>
      </w:r>
      <w:r>
        <w:rPr>
          <w:rFonts w:hint="eastAsia" w:ascii="仿宋_GB2312" w:hAnsi="仿宋_GB2312" w:eastAsia="仿宋_GB2312" w:cs="仿宋_GB2312"/>
          <w:color w:val="000000"/>
          <w:sz w:val="32"/>
          <w:szCs w:val="32"/>
        </w:rPr>
        <w:t>损害人民群众身体健康，也是市场监管部门近年来的重点打击目标。</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rPr>
        <w:t>坚持全链条打击，加强部门合作尤其是行刑衔接，及时控制涉案产品流向，斩断非法利益链条，将社会危害降到最低，切实捍卫人民群众“舌尖上的安全”。</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黑体" w:hAnsi="黑体" w:eastAsia="黑体" w:cs="仿宋_GB2312"/>
          <w:color w:val="000000"/>
          <w:sz w:val="32"/>
          <w:szCs w:val="32"/>
        </w:rPr>
      </w:pPr>
      <w:r>
        <w:rPr>
          <w:rFonts w:ascii="黑体" w:hAnsi="黑体" w:eastAsia="黑体" w:cs="仿宋_GB2312"/>
          <w:color w:val="000000"/>
          <w:sz w:val="32"/>
          <w:szCs w:val="32"/>
        </w:rPr>
        <w:t>一</w:t>
      </w:r>
      <w:r>
        <w:rPr>
          <w:rFonts w:hint="eastAsia" w:ascii="黑体" w:hAnsi="黑体" w:eastAsia="黑体" w:cs="仿宋_GB2312"/>
          <w:color w:val="000000"/>
          <w:sz w:val="32"/>
          <w:szCs w:val="32"/>
        </w:rPr>
        <w:t>、</w:t>
      </w:r>
      <w:r>
        <w:rPr>
          <w:rFonts w:ascii="黑体" w:hAnsi="黑体" w:eastAsia="黑体" w:cs="仿宋_GB2312"/>
          <w:color w:val="000000"/>
          <w:sz w:val="32"/>
          <w:szCs w:val="32"/>
        </w:rPr>
        <w:t>查处重点</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eastAsia="zh-CN"/>
        </w:rPr>
        <w:t>（一）严厉查处生产经营</w:t>
      </w:r>
      <w:r>
        <w:rPr>
          <w:rFonts w:hint="eastAsia" w:ascii="仿宋_GB2312" w:hAnsi="仿宋_GB2312" w:eastAsia="仿宋_GB2312" w:cs="仿宋_GB2312"/>
          <w:color w:val="000000"/>
          <w:sz w:val="32"/>
          <w:szCs w:val="32"/>
        </w:rPr>
        <w:t>食品中</w:t>
      </w:r>
      <w:r>
        <w:rPr>
          <w:rFonts w:hint="eastAsia" w:ascii="仿宋_GB2312" w:hAnsi="仿宋_GB2312" w:eastAsia="仿宋_GB2312" w:cs="仿宋_GB2312"/>
          <w:color w:val="000000"/>
          <w:sz w:val="32"/>
          <w:szCs w:val="32"/>
          <w:lang w:val="en-US" w:eastAsia="zh-CN"/>
        </w:rPr>
        <w:t>超范围、超限量使用食品添加剂</w:t>
      </w:r>
      <w:r>
        <w:rPr>
          <w:rFonts w:hint="eastAsia" w:ascii="仿宋_GB2312" w:hAnsi="仿宋_GB2312" w:eastAsia="仿宋_GB2312" w:cs="仿宋_GB2312"/>
          <w:b w:val="0"/>
          <w:bCs w:val="0"/>
          <w:color w:val="000000"/>
          <w:sz w:val="32"/>
          <w:szCs w:val="32"/>
          <w:u w:val="none"/>
        </w:rPr>
        <w:t>的违法行为。</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b w:val="0"/>
          <w:bCs w:val="0"/>
          <w:color w:val="000000"/>
          <w:sz w:val="32"/>
          <w:szCs w:val="32"/>
          <w:u w:val="none"/>
          <w:lang w:eastAsia="zh-CN"/>
        </w:rPr>
        <w:t>（二）</w:t>
      </w:r>
      <w:r>
        <w:rPr>
          <w:rFonts w:hint="eastAsia" w:ascii="仿宋_GB2312" w:hAnsi="仿宋_GB2312" w:eastAsia="仿宋_GB2312" w:cs="仿宋_GB2312"/>
          <w:b w:val="0"/>
          <w:bCs w:val="0"/>
          <w:color w:val="000000"/>
          <w:sz w:val="32"/>
          <w:szCs w:val="32"/>
          <w:u w:val="none"/>
        </w:rPr>
        <w:t>严厉查处生产经营食品</w:t>
      </w:r>
      <w:r>
        <w:rPr>
          <w:rFonts w:hint="eastAsia" w:ascii="仿宋_GB2312" w:hAnsi="仿宋_GB2312" w:eastAsia="仿宋_GB2312" w:cs="仿宋_GB2312"/>
          <w:b w:val="0"/>
          <w:bCs w:val="0"/>
          <w:color w:val="000000"/>
          <w:sz w:val="32"/>
          <w:szCs w:val="32"/>
          <w:u w:val="none"/>
          <w:lang w:eastAsia="zh-CN"/>
        </w:rPr>
        <w:t>中重金属、致病性微生物、农药残留、兽药残留等不符合食品安全标准的</w:t>
      </w:r>
      <w:r>
        <w:rPr>
          <w:rFonts w:hint="eastAsia" w:ascii="仿宋_GB2312" w:hAnsi="仿宋_GB2312" w:eastAsia="仿宋_GB2312" w:cs="仿宋_GB2312"/>
          <w:b w:val="0"/>
          <w:bCs w:val="0"/>
          <w:color w:val="000000"/>
          <w:sz w:val="32"/>
          <w:szCs w:val="32"/>
          <w:u w:val="none"/>
        </w:rPr>
        <w:t>违法行为。</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eastAsia="zh-CN"/>
        </w:rPr>
        <w:t>（三）</w:t>
      </w:r>
      <w:r>
        <w:rPr>
          <w:rFonts w:hint="eastAsia" w:ascii="仿宋_GB2312" w:hAnsi="仿宋_GB2312" w:eastAsia="仿宋_GB2312" w:cs="仿宋_GB2312"/>
          <w:b w:val="0"/>
          <w:bCs w:val="0"/>
          <w:color w:val="000000"/>
          <w:sz w:val="32"/>
          <w:szCs w:val="32"/>
          <w:u w:val="none"/>
        </w:rPr>
        <w:t>严厉查处生产经营添加药品的食品的违法行为。</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eastAsia="zh-CN"/>
        </w:rPr>
        <w:t>（四）</w:t>
      </w:r>
      <w:r>
        <w:rPr>
          <w:rFonts w:hint="eastAsia" w:ascii="仿宋_GB2312" w:hAnsi="仿宋_GB2312" w:eastAsia="仿宋_GB2312" w:cs="仿宋_GB2312"/>
          <w:b w:val="0"/>
          <w:bCs w:val="0"/>
          <w:color w:val="000000"/>
          <w:sz w:val="32"/>
          <w:szCs w:val="32"/>
          <w:u w:val="none"/>
        </w:rPr>
        <w:t>严厉打击生产经营的</w:t>
      </w:r>
      <w:r>
        <w:rPr>
          <w:rFonts w:hint="eastAsia" w:hAnsi="仿宋_GB2312" w:cs="仿宋_GB2312"/>
          <w:b w:val="0"/>
          <w:bCs w:val="0"/>
          <w:color w:val="000000"/>
          <w:sz w:val="32"/>
          <w:szCs w:val="32"/>
          <w:u w:val="none"/>
          <w:lang w:eastAsia="zh-CN"/>
        </w:rPr>
        <w:t>食品和</w:t>
      </w:r>
      <w:r>
        <w:rPr>
          <w:rFonts w:hint="eastAsia" w:ascii="仿宋_GB2312" w:hAnsi="仿宋_GB2312" w:eastAsia="仿宋_GB2312" w:cs="仿宋_GB2312"/>
          <w:b w:val="0"/>
          <w:bCs w:val="0"/>
          <w:color w:val="000000"/>
          <w:sz w:val="32"/>
          <w:szCs w:val="32"/>
          <w:u w:val="none"/>
        </w:rPr>
        <w:t>食品添加剂的标签、说明书涉及疾病预防、治疗功能的违法行为。</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eastAsia="zh-CN"/>
        </w:rPr>
        <w:t>（五）</w:t>
      </w:r>
      <w:r>
        <w:rPr>
          <w:rFonts w:hint="eastAsia" w:ascii="仿宋_GB2312" w:hAnsi="仿宋_GB2312" w:eastAsia="仿宋_GB2312" w:cs="仿宋_GB2312"/>
          <w:b w:val="0"/>
          <w:bCs w:val="0"/>
          <w:color w:val="000000"/>
          <w:sz w:val="32"/>
          <w:szCs w:val="32"/>
          <w:u w:val="none"/>
        </w:rPr>
        <w:t>严厉查处未经许可从事食品生产经营活动的违法行为。</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二、查处依据</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ascii="仿宋_GB2312" w:hAnsi="仿宋_GB2312" w:eastAsia="仿宋_GB2312" w:cs="仿宋_GB2312"/>
          <w:color w:val="000000"/>
          <w:sz w:val="32"/>
          <w:szCs w:val="32"/>
        </w:rPr>
        <w:t>依据</w:t>
      </w:r>
      <w:r>
        <w:rPr>
          <w:rFonts w:hint="eastAsia" w:ascii="仿宋_GB2312" w:hAnsi="仿宋_GB2312" w:eastAsia="仿宋_GB2312" w:cs="仿宋_GB2312"/>
          <w:color w:val="000000"/>
          <w:sz w:val="32"/>
          <w:szCs w:val="32"/>
        </w:rPr>
        <w:t>《中华人民共和国食品安全法》第一百二十二条、第一百二十三条、第一百二十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条、第一百二十五条、第一百三十五条及《中华人民共和国食品安全法实施条例》</w:t>
      </w:r>
      <w:r>
        <w:rPr>
          <w:rFonts w:hint="eastAsia" w:ascii="仿宋_GB2312" w:eastAsia="仿宋_GB2312"/>
          <w:color w:val="000000"/>
          <w:spacing w:val="-6"/>
          <w:sz w:val="32"/>
          <w:szCs w:val="32"/>
        </w:rPr>
        <w:t>第六十七条、第六十八条、第七十五条等</w:t>
      </w:r>
      <w:r>
        <w:rPr>
          <w:rFonts w:hint="eastAsia" w:ascii="仿宋_GB2312" w:hAnsi="仿宋_GB2312" w:eastAsia="仿宋_GB2312" w:cs="仿宋_GB2312"/>
          <w:color w:val="000000"/>
          <w:sz w:val="32"/>
          <w:szCs w:val="32"/>
        </w:rPr>
        <w:t>规定作出行政处罚。</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ascii="仿宋_GB2312" w:eastAsia="仿宋_GB2312"/>
          <w:color w:val="000000"/>
          <w:spacing w:val="-6"/>
          <w:sz w:val="32"/>
          <w:szCs w:val="32"/>
        </w:rPr>
      </w:pPr>
      <w:r>
        <w:rPr>
          <w:rFonts w:hint="eastAsia" w:ascii="仿宋_GB2312" w:hAnsi="仿宋_GB2312" w:eastAsia="仿宋_GB2312" w:cs="仿宋_GB2312"/>
          <w:color w:val="000000"/>
          <w:sz w:val="32"/>
          <w:szCs w:val="32"/>
          <w:lang w:eastAsia="zh-CN"/>
        </w:rPr>
        <w:t>（二）</w:t>
      </w:r>
      <w:r>
        <w:rPr>
          <w:rFonts w:hint="eastAsia" w:ascii="仿宋_GB2312" w:eastAsia="仿宋_GB2312"/>
          <w:color w:val="000000"/>
          <w:spacing w:val="-6"/>
          <w:sz w:val="32"/>
          <w:szCs w:val="32"/>
        </w:rPr>
        <w:t>依据《中华人民共和国刑法》第一百四十条、第一百四十三条、第一百四十四条等规定做好行刑衔接工作。</w:t>
      </w:r>
    </w:p>
    <w:p>
      <w:pPr>
        <w:keepNext w:val="0"/>
        <w:keepLines w:val="0"/>
        <w:pageBreakBefore w:val="0"/>
        <w:widowControl w:val="0"/>
        <w:kinsoku/>
        <w:wordWrap/>
        <w:overflowPunct/>
        <w:topLinePunct w:val="0"/>
        <w:autoSpaceDE/>
        <w:autoSpaceDN/>
        <w:bidi w:val="0"/>
        <w:spacing w:line="570" w:lineRule="exact"/>
        <w:ind w:right="0" w:rightChars="0" w:firstLine="616" w:firstLineChars="200"/>
        <w:jc w:val="both"/>
        <w:textAlignment w:val="auto"/>
        <w:rPr>
          <w:rFonts w:ascii="黑体" w:hAnsi="黑体" w:eastAsia="黑体"/>
          <w:color w:val="000000"/>
          <w:spacing w:val="-6"/>
          <w:sz w:val="32"/>
          <w:szCs w:val="32"/>
        </w:rPr>
      </w:pPr>
      <w:r>
        <w:rPr>
          <w:rFonts w:ascii="黑体" w:hAnsi="黑体" w:eastAsia="黑体"/>
          <w:color w:val="000000"/>
          <w:spacing w:val="-6"/>
          <w:sz w:val="32"/>
          <w:szCs w:val="32"/>
        </w:rPr>
        <w:t>三</w:t>
      </w:r>
      <w:r>
        <w:rPr>
          <w:rFonts w:hint="eastAsia" w:ascii="黑体" w:hAnsi="黑体" w:eastAsia="黑体"/>
          <w:color w:val="000000"/>
          <w:spacing w:val="-6"/>
          <w:sz w:val="32"/>
          <w:szCs w:val="32"/>
        </w:rPr>
        <w:t>、有关要求</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ascii="仿宋_GB2312" w:hAnsi="仿宋_GB2312" w:eastAsia="仿宋_GB2312" w:cs="仿宋_GB2312"/>
          <w:color w:val="000000"/>
          <w:sz w:val="32"/>
          <w:szCs w:val="32"/>
        </w:rPr>
        <w:t>根据此类案件特点</w:t>
      </w:r>
      <w:r>
        <w:rPr>
          <w:rFonts w:hint="eastAsia" w:ascii="仿宋_GB2312" w:hAnsi="仿宋_GB2312" w:eastAsia="仿宋_GB2312" w:cs="仿宋_GB2312"/>
          <w:color w:val="000000"/>
          <w:sz w:val="32"/>
          <w:szCs w:val="32"/>
        </w:rPr>
        <w:t>，应高度重视投诉举报线索，同时针对日常监管、抽检检测及司法机关移送等渠道发现的线索深挖细查。</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应充分发挥检验检测机构的技术支撑作用，做到准确定性。对于涉嫌刑事的违法犯罪，应当充分利用公安部门具备的强制手段、侦查手段开展联合调查，同时加强</w:t>
      </w:r>
      <w:r>
        <w:rPr>
          <w:rFonts w:hint="eastAsia" w:hAnsi="仿宋_GB2312" w:cs="仿宋_GB2312"/>
          <w:color w:val="000000"/>
          <w:sz w:val="32"/>
          <w:szCs w:val="32"/>
          <w:lang w:eastAsia="zh-CN"/>
        </w:rPr>
        <w:t>与其他</w:t>
      </w:r>
      <w:r>
        <w:rPr>
          <w:rFonts w:hint="eastAsia" w:ascii="仿宋_GB2312" w:hAnsi="仿宋_GB2312" w:eastAsia="仿宋_GB2312" w:cs="仿宋_GB2312"/>
          <w:color w:val="000000"/>
          <w:sz w:val="32"/>
          <w:szCs w:val="32"/>
        </w:rPr>
        <w:t>司法部门衔接，共同查处食品违法犯罪大要案。</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用好用全市场监管“工具箱”，严格落实“处罚到人”要求，</w:t>
      </w:r>
      <w:r>
        <w:rPr>
          <w:rFonts w:hint="eastAsia" w:hAnsi="仿宋_GB2312" w:cs="仿宋_GB2312"/>
          <w:color w:val="000000"/>
          <w:sz w:val="32"/>
          <w:szCs w:val="32"/>
          <w:lang w:eastAsia="zh-CN"/>
        </w:rPr>
        <w:t>加大</w:t>
      </w:r>
      <w:r>
        <w:rPr>
          <w:rFonts w:hint="eastAsia" w:ascii="仿宋_GB2312" w:hAnsi="仿宋_GB2312" w:eastAsia="仿宋_GB2312" w:cs="仿宋_GB2312"/>
          <w:bCs/>
          <w:color w:val="000000"/>
          <w:sz w:val="32"/>
          <w:szCs w:val="32"/>
        </w:rPr>
        <w:t>宣传曝光力度，营造打击食品违法犯罪的浓厚氛围。</w:t>
      </w:r>
    </w:p>
    <w:p>
      <w:pPr>
        <w:shd w:val="clear" w:color="auto" w:fill="auto"/>
        <w:spacing w:line="240" w:lineRule="auto"/>
        <w:rPr>
          <w:rFonts w:hint="eastAsia" w:ascii="黑体" w:hAnsi="黑体" w:eastAsia="黑体" w:cs="黑体"/>
          <w:sz w:val="32"/>
          <w:szCs w:val="32"/>
        </w:rPr>
      </w:pPr>
    </w:p>
    <w:p>
      <w:pPr>
        <w:spacing w:line="500" w:lineRule="exact"/>
        <w:jc w:val="left"/>
        <w:rPr>
          <w:rFonts w:ascii="Times New Roman" w:eastAsia="黑体" w:cs="黑体"/>
          <w:color w:val="000000"/>
        </w:rPr>
      </w:pPr>
    </w:p>
    <w:p>
      <w:pPr>
        <w:spacing w:line="500" w:lineRule="exact"/>
        <w:jc w:val="left"/>
        <w:rPr>
          <w:rFonts w:ascii="黑体" w:hAnsi="黑体" w:eastAsia="黑体" w:cs="黑体"/>
          <w:color w:val="000000"/>
          <w:sz w:val="36"/>
          <w:szCs w:val="36"/>
        </w:rPr>
      </w:pPr>
      <w:r>
        <w:rPr>
          <w:rFonts w:hint="eastAsia" w:ascii="黑体" w:hAnsi="黑体" w:eastAsia="黑体" w:cs="黑体"/>
          <w:color w:val="000000"/>
          <w:sz w:val="36"/>
          <w:szCs w:val="36"/>
        </w:rPr>
        <w:br w:type="page"/>
      </w:r>
    </w:p>
    <w:p>
      <w:pPr>
        <w:spacing w:line="500" w:lineRule="exact"/>
        <w:jc w:val="left"/>
        <w:rPr>
          <w:rFonts w:ascii="黑体" w:hAnsi="黑体" w:eastAsia="黑体" w:cs="黑体"/>
          <w:color w:val="000000"/>
        </w:rPr>
      </w:pPr>
      <w:r>
        <w:rPr>
          <w:rFonts w:hint="eastAsia" w:ascii="黑体" w:hAnsi="黑体" w:eastAsia="黑体" w:cs="黑体"/>
          <w:color w:val="000000"/>
        </w:rPr>
        <w:t>附件4</w:t>
      </w:r>
    </w:p>
    <w:p>
      <w:pPr>
        <w:adjustRightInd w:val="0"/>
        <w:snapToGrid w:val="0"/>
        <w:spacing w:line="300" w:lineRule="exact"/>
        <w:jc w:val="center"/>
        <w:rPr>
          <w:rFonts w:ascii="方正小标宋简体" w:hAnsi="方正小标宋简体" w:eastAsia="方正小标宋简体" w:cs="方正小标宋简体"/>
          <w:color w:val="000000"/>
          <w:sz w:val="44"/>
          <w:szCs w:val="44"/>
        </w:rPr>
      </w:pPr>
    </w:p>
    <w:p>
      <w:pPr>
        <w:adjustRightInd w:val="0"/>
        <w:snapToGrid w:val="0"/>
        <w:spacing w:line="660" w:lineRule="exact"/>
        <w:jc w:val="center"/>
        <w:rPr>
          <w:rFonts w:ascii="Times New Roman"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2024民生领域</w:t>
      </w:r>
      <w:r>
        <w:rPr>
          <w:rFonts w:hint="eastAsia" w:ascii="Times New Roman" w:eastAsia="方正小标宋简体" w:cs="方正小标宋简体"/>
          <w:color w:val="000000"/>
          <w:sz w:val="44"/>
          <w:szCs w:val="44"/>
        </w:rPr>
        <w:t>案件查办“铁拳”行动</w:t>
      </w:r>
    </w:p>
    <w:p>
      <w:pPr>
        <w:adjustRightInd w:val="0"/>
        <w:snapToGrid w:val="0"/>
        <w:spacing w:line="660" w:lineRule="exact"/>
        <w:jc w:val="center"/>
        <w:rPr>
          <w:rFonts w:ascii="Times New Roman" w:eastAsia="方正小标宋简体" w:cs="方正小标宋简体"/>
          <w:color w:val="000000"/>
          <w:sz w:val="44"/>
          <w:szCs w:val="44"/>
        </w:rPr>
      </w:pPr>
      <w:r>
        <w:rPr>
          <w:rFonts w:hint="eastAsia" w:ascii="Times New Roman" w:eastAsia="方正小标宋简体" w:cs="方正小标宋简体"/>
          <w:color w:val="000000"/>
          <w:sz w:val="44"/>
          <w:szCs w:val="44"/>
        </w:rPr>
        <w:t>典型案件报送目录</w:t>
      </w:r>
    </w:p>
    <w:p>
      <w:pPr>
        <w:pStyle w:val="2"/>
        <w:spacing w:line="500" w:lineRule="exact"/>
        <w:rPr>
          <w:rFonts w:ascii="Times New Roman"/>
          <w:color w:val="000000"/>
        </w:rPr>
      </w:pPr>
    </w:p>
    <w:p>
      <w:pPr>
        <w:spacing w:line="594" w:lineRule="exact"/>
        <w:jc w:val="left"/>
        <w:rPr>
          <w:rFonts w:ascii="Times New Roman"/>
          <w:color w:val="000000"/>
        </w:rPr>
      </w:pPr>
      <w:r>
        <w:rPr>
          <w:rFonts w:hint="eastAsia" w:ascii="Times New Roman"/>
          <w:color w:val="000000"/>
          <w:lang w:val="en-US" w:eastAsia="zh-CN"/>
        </w:rPr>
        <w:t>科室、所</w:t>
      </w:r>
      <w:r>
        <w:rPr>
          <w:rFonts w:ascii="Times New Roman"/>
          <w:color w:val="000000"/>
        </w:rPr>
        <w:t>：</w:t>
      </w:r>
      <w:r>
        <w:rPr>
          <w:rFonts w:hint="eastAsia" w:ascii="Times New Roman"/>
          <w:color w:val="000000"/>
        </w:rPr>
        <w:t xml:space="preserve">        </w:t>
      </w:r>
      <w:r>
        <w:rPr>
          <w:rFonts w:hint="eastAsia" w:ascii="Times New Roman"/>
          <w:color w:val="000000"/>
          <w:lang w:val="en-US" w:eastAsia="zh-CN"/>
        </w:rPr>
        <w:t xml:space="preserve">        </w:t>
      </w:r>
      <w:r>
        <w:rPr>
          <w:rFonts w:hint="eastAsia" w:ascii="Times New Roman"/>
          <w:color w:val="000000"/>
        </w:rPr>
        <w:t xml:space="preserve">              </w:t>
      </w:r>
      <w:r>
        <w:rPr>
          <w:rFonts w:ascii="Times New Roman"/>
          <w:color w:val="000000"/>
        </w:rPr>
        <w:t>填报周期：</w:t>
      </w:r>
      <w:r>
        <w:rPr>
          <w:rFonts w:hint="eastAsia" w:ascii="Times New Roman"/>
          <w:color w:val="000000"/>
          <w:lang w:val="en-US" w:eastAsia="zh-CN"/>
        </w:rPr>
        <w:t xml:space="preserve"> </w:t>
      </w:r>
      <w:r>
        <w:rPr>
          <w:rFonts w:ascii="Times New Roman"/>
          <w:color w:val="000000"/>
        </w:rPr>
        <w:t xml:space="preserve">月  </w:t>
      </w:r>
    </w:p>
    <w:tbl>
      <w:tblPr>
        <w:tblStyle w:val="8"/>
        <w:tblW w:w="8844" w:type="dxa"/>
        <w:jc w:val="center"/>
        <w:tblLayout w:type="fixed"/>
        <w:tblCellMar>
          <w:top w:w="0" w:type="dxa"/>
          <w:left w:w="0" w:type="dxa"/>
          <w:bottom w:w="0" w:type="dxa"/>
          <w:right w:w="0" w:type="dxa"/>
        </w:tblCellMar>
      </w:tblPr>
      <w:tblGrid>
        <w:gridCol w:w="583"/>
        <w:gridCol w:w="2900"/>
        <w:gridCol w:w="1413"/>
        <w:gridCol w:w="1274"/>
        <w:gridCol w:w="1354"/>
        <w:gridCol w:w="1320"/>
      </w:tblGrid>
      <w:tr>
        <w:tblPrEx>
          <w:tblCellMar>
            <w:top w:w="0" w:type="dxa"/>
            <w:left w:w="0" w:type="dxa"/>
            <w:bottom w:w="0" w:type="dxa"/>
            <w:right w:w="0" w:type="dxa"/>
          </w:tblCellMar>
        </w:tblPrEx>
        <w:trPr>
          <w:trHeight w:val="845" w:hRule="atLeast"/>
          <w:jc w:val="center"/>
        </w:trPr>
        <w:tc>
          <w:tcPr>
            <w:tcW w:w="5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8"/>
                <w:szCs w:val="28"/>
              </w:rPr>
            </w:pPr>
            <w:r>
              <w:rPr>
                <w:rFonts w:ascii="Times New Roman" w:eastAsia="黑体"/>
                <w:snapToGrid w:val="0"/>
                <w:color w:val="000000"/>
                <w:spacing w:val="-11"/>
                <w:sz w:val="28"/>
                <w:szCs w:val="28"/>
              </w:rPr>
              <w:t>序号</w:t>
            </w:r>
          </w:p>
        </w:tc>
        <w:tc>
          <w:tcPr>
            <w:tcW w:w="2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eastAsia="黑体"/>
                <w:color w:val="000000"/>
                <w:sz w:val="28"/>
                <w:szCs w:val="28"/>
              </w:rPr>
            </w:pPr>
            <w:r>
              <w:rPr>
                <w:rFonts w:ascii="Times New Roman" w:eastAsia="黑体"/>
                <w:color w:val="000000"/>
                <w:kern w:val="0"/>
                <w:sz w:val="28"/>
                <w:szCs w:val="28"/>
              </w:rPr>
              <w:t>案件名称</w:t>
            </w:r>
          </w:p>
        </w:tc>
        <w:tc>
          <w:tcPr>
            <w:tcW w:w="14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eastAsia="黑体"/>
                <w:color w:val="000000"/>
                <w:kern w:val="0"/>
                <w:sz w:val="28"/>
                <w:szCs w:val="28"/>
              </w:rPr>
            </w:pPr>
            <w:r>
              <w:rPr>
                <w:rFonts w:ascii="Times New Roman" w:eastAsia="黑体"/>
                <w:color w:val="000000"/>
                <w:kern w:val="0"/>
                <w:sz w:val="28"/>
                <w:szCs w:val="28"/>
              </w:rPr>
              <w:t>案件类型</w:t>
            </w:r>
          </w:p>
        </w:tc>
        <w:tc>
          <w:tcPr>
            <w:tcW w:w="12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eastAsia="黑体"/>
                <w:color w:val="000000"/>
                <w:kern w:val="0"/>
                <w:sz w:val="28"/>
                <w:szCs w:val="28"/>
              </w:rPr>
            </w:pPr>
            <w:r>
              <w:rPr>
                <w:rFonts w:ascii="Times New Roman" w:eastAsia="黑体"/>
                <w:color w:val="000000"/>
                <w:kern w:val="0"/>
                <w:sz w:val="28"/>
                <w:szCs w:val="28"/>
              </w:rPr>
              <w:t>案值</w:t>
            </w:r>
          </w:p>
          <w:p>
            <w:pPr>
              <w:widowControl/>
              <w:spacing w:line="520" w:lineRule="exact"/>
              <w:jc w:val="center"/>
              <w:textAlignment w:val="center"/>
              <w:rPr>
                <w:rFonts w:ascii="Times New Roman" w:eastAsia="黑体"/>
                <w:color w:val="000000"/>
                <w:sz w:val="28"/>
                <w:szCs w:val="28"/>
              </w:rPr>
            </w:pPr>
            <w:r>
              <w:rPr>
                <w:rFonts w:ascii="Times New Roman" w:eastAsia="黑体"/>
                <w:color w:val="000000"/>
                <w:kern w:val="0"/>
                <w:sz w:val="28"/>
                <w:szCs w:val="28"/>
              </w:rPr>
              <w:t>（万元）</w:t>
            </w:r>
          </w:p>
        </w:tc>
        <w:tc>
          <w:tcPr>
            <w:tcW w:w="13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eastAsia="黑体"/>
                <w:color w:val="000000"/>
                <w:kern w:val="0"/>
                <w:sz w:val="28"/>
                <w:szCs w:val="28"/>
              </w:rPr>
            </w:pPr>
            <w:r>
              <w:rPr>
                <w:rFonts w:ascii="Times New Roman" w:eastAsia="黑体"/>
                <w:color w:val="000000"/>
                <w:kern w:val="0"/>
                <w:sz w:val="28"/>
                <w:szCs w:val="28"/>
              </w:rPr>
              <w:t>罚没金额</w:t>
            </w:r>
          </w:p>
          <w:p>
            <w:pPr>
              <w:widowControl/>
              <w:spacing w:line="520" w:lineRule="exact"/>
              <w:jc w:val="center"/>
              <w:textAlignment w:val="center"/>
              <w:rPr>
                <w:rFonts w:ascii="Times New Roman" w:eastAsia="黑体"/>
                <w:color w:val="000000"/>
                <w:sz w:val="28"/>
                <w:szCs w:val="28"/>
              </w:rPr>
            </w:pPr>
            <w:r>
              <w:rPr>
                <w:rFonts w:ascii="Times New Roman" w:eastAsia="黑体"/>
                <w:color w:val="000000"/>
                <w:kern w:val="0"/>
                <w:sz w:val="28"/>
                <w:szCs w:val="28"/>
              </w:rPr>
              <w:t>（万元）</w:t>
            </w:r>
          </w:p>
        </w:tc>
        <w:tc>
          <w:tcPr>
            <w:tcW w:w="13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Cs w:val="22"/>
              </w:rPr>
            </w:pPr>
            <w:r>
              <w:rPr>
                <w:rFonts w:ascii="Times New Roman" w:eastAsia="黑体"/>
                <w:color w:val="000000"/>
                <w:kern w:val="0"/>
                <w:sz w:val="28"/>
                <w:szCs w:val="28"/>
              </w:rPr>
              <w:t>是否移送（是/否）</w:t>
            </w:r>
          </w:p>
        </w:tc>
      </w:tr>
      <w:tr>
        <w:tblPrEx>
          <w:tblCellMar>
            <w:top w:w="0" w:type="dxa"/>
            <w:left w:w="0" w:type="dxa"/>
            <w:bottom w:w="0" w:type="dxa"/>
            <w:right w:w="0" w:type="dxa"/>
          </w:tblCellMar>
        </w:tblPrEx>
        <w:trPr>
          <w:trHeight w:val="845" w:hRule="atLeast"/>
          <w:jc w:val="center"/>
        </w:trPr>
        <w:tc>
          <w:tcPr>
            <w:tcW w:w="5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4"/>
              </w:rPr>
            </w:pPr>
            <w:r>
              <w:rPr>
                <w:rFonts w:ascii="Times New Roman"/>
                <w:color w:val="000000"/>
                <w:kern w:val="0"/>
                <w:sz w:val="24"/>
              </w:rPr>
              <w:t>1</w:t>
            </w:r>
          </w:p>
        </w:tc>
        <w:tc>
          <w:tcPr>
            <w:tcW w:w="290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left"/>
              <w:textAlignment w:val="center"/>
              <w:rPr>
                <w:rFonts w:ascii="Times New Roman"/>
                <w:color w:val="000000"/>
                <w:sz w:val="28"/>
                <w:szCs w:val="28"/>
              </w:rPr>
            </w:pPr>
            <w:r>
              <w:rPr>
                <w:rFonts w:ascii="Times New Roman"/>
                <w:color w:val="000000"/>
                <w:sz w:val="28"/>
                <w:szCs w:val="28"/>
              </w:rPr>
              <w:t>××（</w:t>
            </w:r>
            <w:r>
              <w:rPr>
                <w:rFonts w:hint="eastAsia" w:ascii="Times New Roman"/>
                <w:color w:val="000000"/>
                <w:sz w:val="28"/>
                <w:szCs w:val="28"/>
                <w:lang w:val="en-US" w:eastAsia="zh-CN"/>
              </w:rPr>
              <w:t>科室、所</w:t>
            </w:r>
            <w:r>
              <w:rPr>
                <w:rFonts w:ascii="Times New Roman"/>
                <w:color w:val="000000"/>
                <w:sz w:val="28"/>
                <w:szCs w:val="28"/>
              </w:rPr>
              <w:t>）查处××</w:t>
            </w:r>
          </w:p>
          <w:p>
            <w:pPr>
              <w:widowControl/>
              <w:spacing w:line="520" w:lineRule="exact"/>
              <w:jc w:val="left"/>
              <w:textAlignment w:val="center"/>
              <w:rPr>
                <w:rFonts w:ascii="Times New Roman"/>
                <w:color w:val="000000"/>
                <w:sz w:val="28"/>
                <w:szCs w:val="28"/>
              </w:rPr>
            </w:pPr>
            <w:r>
              <w:rPr>
                <w:rFonts w:ascii="Times New Roman"/>
                <w:color w:val="000000"/>
                <w:sz w:val="28"/>
                <w:szCs w:val="28"/>
              </w:rPr>
              <w:t>（当事人）××（案由）案</w:t>
            </w:r>
          </w:p>
        </w:tc>
        <w:tc>
          <w:tcPr>
            <w:tcW w:w="141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27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5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2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r>
      <w:tr>
        <w:tblPrEx>
          <w:tblCellMar>
            <w:top w:w="0" w:type="dxa"/>
            <w:left w:w="0" w:type="dxa"/>
            <w:bottom w:w="0" w:type="dxa"/>
            <w:right w:w="0" w:type="dxa"/>
          </w:tblCellMar>
        </w:tblPrEx>
        <w:trPr>
          <w:trHeight w:val="845" w:hRule="atLeast"/>
          <w:jc w:val="center"/>
        </w:trPr>
        <w:tc>
          <w:tcPr>
            <w:tcW w:w="5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4"/>
              </w:rPr>
            </w:pPr>
            <w:r>
              <w:rPr>
                <w:rFonts w:ascii="Times New Roman"/>
                <w:color w:val="000000"/>
                <w:kern w:val="0"/>
                <w:sz w:val="24"/>
              </w:rPr>
              <w:t>2</w:t>
            </w:r>
          </w:p>
        </w:tc>
        <w:tc>
          <w:tcPr>
            <w:tcW w:w="290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2"/>
                <w:szCs w:val="22"/>
              </w:rPr>
            </w:pPr>
          </w:p>
        </w:tc>
        <w:tc>
          <w:tcPr>
            <w:tcW w:w="141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27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5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2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r>
      <w:tr>
        <w:tblPrEx>
          <w:tblCellMar>
            <w:top w:w="0" w:type="dxa"/>
            <w:left w:w="0" w:type="dxa"/>
            <w:bottom w:w="0" w:type="dxa"/>
            <w:right w:w="0" w:type="dxa"/>
          </w:tblCellMar>
        </w:tblPrEx>
        <w:trPr>
          <w:trHeight w:val="845" w:hRule="atLeast"/>
          <w:jc w:val="center"/>
        </w:trPr>
        <w:tc>
          <w:tcPr>
            <w:tcW w:w="5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4"/>
              </w:rPr>
            </w:pPr>
            <w:r>
              <w:rPr>
                <w:rFonts w:ascii="Times New Roman"/>
                <w:color w:val="000000"/>
                <w:kern w:val="0"/>
                <w:sz w:val="24"/>
              </w:rPr>
              <w:t>3</w:t>
            </w:r>
          </w:p>
        </w:tc>
        <w:tc>
          <w:tcPr>
            <w:tcW w:w="290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41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27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5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2"/>
                <w:szCs w:val="22"/>
              </w:rPr>
            </w:pPr>
          </w:p>
        </w:tc>
        <w:tc>
          <w:tcPr>
            <w:tcW w:w="132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2"/>
                <w:szCs w:val="22"/>
              </w:rPr>
            </w:pPr>
          </w:p>
        </w:tc>
      </w:tr>
      <w:tr>
        <w:tblPrEx>
          <w:tblCellMar>
            <w:top w:w="0" w:type="dxa"/>
            <w:left w:w="0" w:type="dxa"/>
            <w:bottom w:w="0" w:type="dxa"/>
            <w:right w:w="0" w:type="dxa"/>
          </w:tblCellMar>
        </w:tblPrEx>
        <w:trPr>
          <w:trHeight w:val="845" w:hRule="atLeast"/>
          <w:jc w:val="center"/>
        </w:trPr>
        <w:tc>
          <w:tcPr>
            <w:tcW w:w="5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4"/>
              </w:rPr>
            </w:pPr>
            <w:r>
              <w:rPr>
                <w:rFonts w:hint="eastAsia" w:ascii="Times New Roman"/>
                <w:color w:val="000000"/>
                <w:sz w:val="24"/>
              </w:rPr>
              <w:t>...</w:t>
            </w:r>
          </w:p>
        </w:tc>
        <w:tc>
          <w:tcPr>
            <w:tcW w:w="290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2"/>
                <w:szCs w:val="22"/>
              </w:rPr>
            </w:pPr>
          </w:p>
        </w:tc>
        <w:tc>
          <w:tcPr>
            <w:tcW w:w="141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27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5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2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r>
      <w:tr>
        <w:tblPrEx>
          <w:tblCellMar>
            <w:top w:w="0" w:type="dxa"/>
            <w:left w:w="0" w:type="dxa"/>
            <w:bottom w:w="0" w:type="dxa"/>
            <w:right w:w="0" w:type="dxa"/>
          </w:tblCellMar>
        </w:tblPrEx>
        <w:trPr>
          <w:trHeight w:val="845" w:hRule="atLeast"/>
          <w:jc w:val="center"/>
        </w:trPr>
        <w:tc>
          <w:tcPr>
            <w:tcW w:w="5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4"/>
              </w:rPr>
            </w:pPr>
            <w:r>
              <w:rPr>
                <w:rFonts w:hint="eastAsia" w:ascii="Times New Roman"/>
                <w:color w:val="000000"/>
                <w:sz w:val="24"/>
              </w:rPr>
              <w:t>...</w:t>
            </w:r>
          </w:p>
        </w:tc>
        <w:tc>
          <w:tcPr>
            <w:tcW w:w="290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2"/>
                <w:szCs w:val="22"/>
              </w:rPr>
            </w:pPr>
          </w:p>
        </w:tc>
        <w:tc>
          <w:tcPr>
            <w:tcW w:w="141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27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5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2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r>
      <w:tr>
        <w:tblPrEx>
          <w:tblCellMar>
            <w:top w:w="0" w:type="dxa"/>
            <w:left w:w="0" w:type="dxa"/>
            <w:bottom w:w="0" w:type="dxa"/>
            <w:right w:w="0" w:type="dxa"/>
          </w:tblCellMar>
        </w:tblPrEx>
        <w:trPr>
          <w:trHeight w:val="845" w:hRule="atLeast"/>
          <w:jc w:val="center"/>
        </w:trPr>
        <w:tc>
          <w:tcPr>
            <w:tcW w:w="5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4"/>
              </w:rPr>
            </w:pPr>
            <w:r>
              <w:rPr>
                <w:rFonts w:hint="eastAsia" w:ascii="Times New Roman"/>
                <w:color w:val="000000"/>
                <w:sz w:val="24"/>
              </w:rPr>
              <w:t>...</w:t>
            </w:r>
          </w:p>
        </w:tc>
        <w:tc>
          <w:tcPr>
            <w:tcW w:w="290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2"/>
                <w:szCs w:val="22"/>
              </w:rPr>
            </w:pPr>
          </w:p>
        </w:tc>
        <w:tc>
          <w:tcPr>
            <w:tcW w:w="141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27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5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2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r>
      <w:tr>
        <w:tblPrEx>
          <w:tblCellMar>
            <w:top w:w="0" w:type="dxa"/>
            <w:left w:w="0" w:type="dxa"/>
            <w:bottom w:w="0" w:type="dxa"/>
            <w:right w:w="0" w:type="dxa"/>
          </w:tblCellMar>
        </w:tblPrEx>
        <w:trPr>
          <w:trHeight w:val="845" w:hRule="atLeast"/>
          <w:jc w:val="center"/>
        </w:trPr>
        <w:tc>
          <w:tcPr>
            <w:tcW w:w="5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4"/>
              </w:rPr>
            </w:pPr>
            <w:r>
              <w:rPr>
                <w:rFonts w:hint="eastAsia" w:ascii="Times New Roman"/>
                <w:color w:val="000000"/>
                <w:sz w:val="24"/>
              </w:rPr>
              <w:t>...</w:t>
            </w:r>
          </w:p>
        </w:tc>
        <w:tc>
          <w:tcPr>
            <w:tcW w:w="290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20" w:lineRule="exact"/>
              <w:jc w:val="center"/>
              <w:textAlignment w:val="center"/>
              <w:rPr>
                <w:rFonts w:ascii="Times New Roman"/>
                <w:color w:val="000000"/>
                <w:sz w:val="22"/>
                <w:szCs w:val="22"/>
              </w:rPr>
            </w:pPr>
          </w:p>
        </w:tc>
        <w:tc>
          <w:tcPr>
            <w:tcW w:w="141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27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5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c>
          <w:tcPr>
            <w:tcW w:w="132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jc w:val="center"/>
              <w:rPr>
                <w:rFonts w:ascii="Times New Roman"/>
                <w:color w:val="000000"/>
                <w:sz w:val="22"/>
                <w:szCs w:val="22"/>
              </w:rPr>
            </w:pPr>
          </w:p>
        </w:tc>
      </w:tr>
    </w:tbl>
    <w:p>
      <w:pPr>
        <w:spacing w:line="594" w:lineRule="exact"/>
        <w:ind w:left="1120" w:leftChars="0" w:hanging="1120" w:hangingChars="400"/>
        <w:rPr>
          <w:rFonts w:ascii="Times New Roman"/>
          <w:color w:val="000000"/>
          <w:sz w:val="28"/>
          <w:szCs w:val="28"/>
        </w:rPr>
      </w:pPr>
      <w:r>
        <w:rPr>
          <w:rFonts w:hint="eastAsia" w:ascii="Times New Roman"/>
          <w:color w:val="000000"/>
          <w:sz w:val="28"/>
          <w:szCs w:val="28"/>
          <w:lang w:val="en-US" w:eastAsia="zh-CN"/>
        </w:rPr>
        <w:t>注</w:t>
      </w:r>
      <w:r>
        <w:rPr>
          <w:rFonts w:ascii="Times New Roman"/>
          <w:color w:val="000000"/>
          <w:sz w:val="28"/>
          <w:szCs w:val="28"/>
        </w:rPr>
        <w:t>：1.案件名称格式：××（</w:t>
      </w:r>
      <w:r>
        <w:rPr>
          <w:rFonts w:hint="eastAsia" w:ascii="Times New Roman"/>
          <w:color w:val="000000"/>
          <w:sz w:val="28"/>
          <w:szCs w:val="28"/>
          <w:lang w:val="en-US" w:eastAsia="zh-CN"/>
        </w:rPr>
        <w:t>科室、所</w:t>
      </w:r>
      <w:r>
        <w:rPr>
          <w:rFonts w:ascii="Times New Roman"/>
          <w:color w:val="000000"/>
          <w:sz w:val="28"/>
          <w:szCs w:val="28"/>
        </w:rPr>
        <w:t>）查处××（当事人）××（案由</w:t>
      </w:r>
      <w:r>
        <w:rPr>
          <w:rFonts w:hint="eastAsia" w:ascii="Times New Roman"/>
          <w:color w:val="000000"/>
          <w:sz w:val="28"/>
          <w:szCs w:val="28"/>
          <w:lang w:eastAsia="zh-CN"/>
        </w:rPr>
        <w:t>）</w:t>
      </w:r>
      <w:r>
        <w:rPr>
          <w:rFonts w:ascii="Times New Roman"/>
          <w:color w:val="000000"/>
          <w:sz w:val="28"/>
          <w:szCs w:val="28"/>
        </w:rPr>
        <w:t>案；</w:t>
      </w:r>
    </w:p>
    <w:p>
      <w:pPr>
        <w:spacing w:line="594" w:lineRule="exact"/>
        <w:jc w:val="left"/>
        <w:rPr>
          <w:rFonts w:ascii="Times New Roman"/>
          <w:color w:val="000000"/>
        </w:rPr>
      </w:pPr>
      <w:r>
        <w:rPr>
          <w:rFonts w:ascii="Times New Roman"/>
          <w:color w:val="000000"/>
          <w:sz w:val="28"/>
          <w:szCs w:val="28"/>
        </w:rPr>
        <w:t xml:space="preserve">     2.案件类型：参照附件</w:t>
      </w:r>
      <w:r>
        <w:rPr>
          <w:rFonts w:hint="eastAsia" w:ascii="Times New Roman"/>
          <w:color w:val="000000"/>
          <w:sz w:val="28"/>
          <w:szCs w:val="28"/>
        </w:rPr>
        <w:t>6</w:t>
      </w:r>
      <w:r>
        <w:rPr>
          <w:rFonts w:ascii="Times New Roman"/>
          <w:color w:val="000000"/>
          <w:sz w:val="28"/>
          <w:szCs w:val="28"/>
        </w:rPr>
        <w:t>。</w:t>
      </w:r>
    </w:p>
    <w:p>
      <w:pPr>
        <w:pStyle w:val="2"/>
        <w:spacing w:line="500" w:lineRule="exact"/>
        <w:jc w:val="left"/>
        <w:rPr>
          <w:rFonts w:ascii="Times New Roman" w:eastAsia="黑体" w:cs="黑体"/>
          <w:color w:val="000000"/>
        </w:rPr>
      </w:pPr>
      <w:r>
        <w:rPr>
          <w:rFonts w:hint="eastAsia" w:ascii="Times New Roman"/>
          <w:color w:val="000000"/>
        </w:rPr>
        <w:br w:type="page"/>
      </w:r>
      <w:r>
        <w:rPr>
          <w:rFonts w:hint="eastAsia" w:ascii="黑体" w:hAnsi="黑体" w:eastAsia="黑体" w:cs="黑体"/>
          <w:color w:val="000000"/>
        </w:rPr>
        <w:t>附件5</w:t>
      </w:r>
    </w:p>
    <w:p>
      <w:pPr>
        <w:pStyle w:val="2"/>
        <w:spacing w:line="660" w:lineRule="exact"/>
        <w:jc w:val="center"/>
        <w:rPr>
          <w:rFonts w:ascii="Times New Roman" w:eastAsia="方正小标宋简体" w:cs="方正小标宋简体"/>
          <w:color w:val="000000"/>
          <w:sz w:val="44"/>
          <w:szCs w:val="44"/>
        </w:rPr>
      </w:pPr>
      <w:r>
        <w:rPr>
          <w:rFonts w:hint="eastAsia" w:ascii="Times New Roman" w:eastAsia="方正小标宋简体" w:cs="方正小标宋简体"/>
          <w:color w:val="000000"/>
          <w:sz w:val="44"/>
          <w:szCs w:val="44"/>
        </w:rPr>
        <w:t>典型案件报送信息表</w:t>
      </w:r>
    </w:p>
    <w:tbl>
      <w:tblPr>
        <w:tblStyle w:val="8"/>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247"/>
        <w:gridCol w:w="1300"/>
        <w:gridCol w:w="1130"/>
        <w:gridCol w:w="1440"/>
        <w:gridCol w:w="114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8" w:hRule="atLeast"/>
          <w:jc w:val="center"/>
        </w:trPr>
        <w:tc>
          <w:tcPr>
            <w:tcW w:w="1247" w:type="dxa"/>
            <w:tcBorders>
              <w:top w:val="nil"/>
              <w:left w:val="nil"/>
              <w:right w:val="nil"/>
            </w:tcBorders>
            <w:vAlign w:val="bottom"/>
          </w:tcPr>
          <w:p>
            <w:pPr>
              <w:adjustRightInd w:val="0"/>
              <w:snapToGrid w:val="0"/>
              <w:spacing w:line="300" w:lineRule="exact"/>
              <w:rPr>
                <w:rFonts w:ascii="Times New Roman" w:eastAsia="黑体"/>
                <w:color w:val="000000"/>
                <w:sz w:val="24"/>
              </w:rPr>
            </w:pPr>
            <w:r>
              <w:rPr>
                <w:rFonts w:hint="eastAsia" w:ascii="Times New Roman"/>
                <w:color w:val="000000"/>
                <w:sz w:val="24"/>
              </w:rPr>
              <w:t>填写时间：</w:t>
            </w:r>
          </w:p>
        </w:tc>
        <w:tc>
          <w:tcPr>
            <w:tcW w:w="2430" w:type="dxa"/>
            <w:gridSpan w:val="2"/>
            <w:tcBorders>
              <w:top w:val="nil"/>
              <w:left w:val="nil"/>
              <w:right w:val="nil"/>
            </w:tcBorders>
            <w:vAlign w:val="bottom"/>
          </w:tcPr>
          <w:p>
            <w:pPr>
              <w:adjustRightInd w:val="0"/>
              <w:snapToGrid w:val="0"/>
              <w:spacing w:line="300" w:lineRule="exact"/>
              <w:rPr>
                <w:rFonts w:ascii="Times New Roman"/>
                <w:color w:val="000000"/>
                <w:sz w:val="24"/>
              </w:rPr>
            </w:pPr>
            <w:r>
              <w:rPr>
                <w:rFonts w:hint="eastAsia" w:ascii="Times New Roman"/>
                <w:color w:val="000000"/>
                <w:sz w:val="24"/>
              </w:rPr>
              <w:t>年  月 日</w:t>
            </w:r>
          </w:p>
        </w:tc>
        <w:tc>
          <w:tcPr>
            <w:tcW w:w="1440" w:type="dxa"/>
            <w:tcBorders>
              <w:top w:val="nil"/>
              <w:left w:val="nil"/>
              <w:right w:val="nil"/>
            </w:tcBorders>
            <w:vAlign w:val="bottom"/>
          </w:tcPr>
          <w:p>
            <w:pPr>
              <w:adjustRightInd w:val="0"/>
              <w:snapToGrid w:val="0"/>
              <w:spacing w:line="300" w:lineRule="exact"/>
              <w:jc w:val="right"/>
              <w:rPr>
                <w:rFonts w:ascii="Times New Roman"/>
                <w:color w:val="000000"/>
                <w:sz w:val="24"/>
              </w:rPr>
            </w:pPr>
            <w:r>
              <w:rPr>
                <w:rFonts w:hint="eastAsia" w:ascii="Times New Roman"/>
                <w:color w:val="000000"/>
                <w:sz w:val="24"/>
              </w:rPr>
              <w:t>办理状态：</w:t>
            </w:r>
          </w:p>
        </w:tc>
        <w:tc>
          <w:tcPr>
            <w:tcW w:w="3770" w:type="dxa"/>
            <w:gridSpan w:val="2"/>
            <w:tcBorders>
              <w:top w:val="nil"/>
              <w:left w:val="nil"/>
              <w:right w:val="nil"/>
            </w:tcBorders>
            <w:vAlign w:val="bottom"/>
          </w:tcPr>
          <w:p>
            <w:pPr>
              <w:adjustRightInd w:val="0"/>
              <w:snapToGrid w:val="0"/>
              <w:spacing w:line="300" w:lineRule="exact"/>
              <w:jc w:val="center"/>
              <w:rPr>
                <w:rFonts w:ascii="Times New Roman"/>
                <w:color w:val="000000"/>
                <w:sz w:val="24"/>
              </w:rPr>
            </w:pPr>
            <w:r>
              <w:rPr>
                <w:rFonts w:hint="eastAsia" w:ascii="Times New Roman" w:eastAsia="MS Gothic"/>
                <w:color w:val="000000"/>
                <w:sz w:val="24"/>
              </w:rPr>
              <w:t>☐</w:t>
            </w:r>
            <w:r>
              <w:rPr>
                <w:rFonts w:hint="eastAsia" w:ascii="Times New Roman"/>
                <w:color w:val="000000"/>
                <w:sz w:val="24"/>
              </w:rPr>
              <w:t xml:space="preserve">正在办理中  </w:t>
            </w:r>
            <w:r>
              <w:rPr>
                <w:rFonts w:hint="eastAsia" w:ascii="Times New Roman" w:eastAsia="MS Gothic"/>
                <w:color w:val="000000"/>
                <w:sz w:val="24"/>
              </w:rPr>
              <w:t>☐</w:t>
            </w:r>
            <w:r>
              <w:rPr>
                <w:rFonts w:hint="eastAsia" w:ascii="Times New Roman"/>
                <w:color w:val="000000"/>
                <w:sz w:val="24"/>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67" w:hRule="atLeast"/>
          <w:jc w:val="center"/>
        </w:trPr>
        <w:tc>
          <w:tcPr>
            <w:tcW w:w="1247"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案件类型</w:t>
            </w:r>
          </w:p>
        </w:tc>
        <w:tc>
          <w:tcPr>
            <w:tcW w:w="7640" w:type="dxa"/>
            <w:gridSpan w:val="5"/>
            <w:vAlign w:val="center"/>
          </w:tcPr>
          <w:p>
            <w:pPr>
              <w:adjustRightInd w:val="0"/>
              <w:snapToGrid w:val="0"/>
              <w:spacing w:line="300" w:lineRule="exact"/>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247"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案件名称</w:t>
            </w:r>
          </w:p>
        </w:tc>
        <w:tc>
          <w:tcPr>
            <w:tcW w:w="7640" w:type="dxa"/>
            <w:gridSpan w:val="5"/>
            <w:vAlign w:val="center"/>
          </w:tcPr>
          <w:p>
            <w:pPr>
              <w:adjustRightInd w:val="0"/>
              <w:snapToGrid w:val="0"/>
              <w:spacing w:line="300" w:lineRule="exact"/>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1247"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涉案企业名称</w:t>
            </w:r>
          </w:p>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（人员</w:t>
            </w:r>
          </w:p>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姓名）</w:t>
            </w:r>
          </w:p>
        </w:tc>
        <w:tc>
          <w:tcPr>
            <w:tcW w:w="3870" w:type="dxa"/>
            <w:gridSpan w:val="3"/>
            <w:vAlign w:val="center"/>
          </w:tcPr>
          <w:p>
            <w:pPr>
              <w:adjustRightInd w:val="0"/>
              <w:snapToGrid w:val="0"/>
              <w:spacing w:line="300" w:lineRule="exact"/>
              <w:ind w:firstLine="2520" w:firstLineChars="1050"/>
              <w:rPr>
                <w:rFonts w:ascii="Times New Roman"/>
                <w:color w:val="000000"/>
                <w:sz w:val="24"/>
              </w:rPr>
            </w:pPr>
          </w:p>
        </w:tc>
        <w:tc>
          <w:tcPr>
            <w:tcW w:w="1140"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证照情况</w:t>
            </w:r>
          </w:p>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（许可</w:t>
            </w:r>
          </w:p>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信息）</w:t>
            </w:r>
          </w:p>
        </w:tc>
        <w:tc>
          <w:tcPr>
            <w:tcW w:w="2630" w:type="dxa"/>
            <w:vAlign w:val="center"/>
          </w:tcPr>
          <w:p>
            <w:pPr>
              <w:adjustRightInd w:val="0"/>
              <w:snapToGrid w:val="0"/>
              <w:spacing w:line="300" w:lineRule="exact"/>
              <w:jc w:val="right"/>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5" w:hRule="atLeast"/>
          <w:jc w:val="center"/>
        </w:trPr>
        <w:tc>
          <w:tcPr>
            <w:tcW w:w="1247"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立案时间</w:t>
            </w:r>
          </w:p>
        </w:tc>
        <w:tc>
          <w:tcPr>
            <w:tcW w:w="3870" w:type="dxa"/>
            <w:gridSpan w:val="3"/>
            <w:vAlign w:val="center"/>
          </w:tcPr>
          <w:p>
            <w:pPr>
              <w:adjustRightInd w:val="0"/>
              <w:snapToGrid w:val="0"/>
              <w:spacing w:line="300" w:lineRule="exact"/>
              <w:ind w:firstLine="2160" w:firstLineChars="900"/>
              <w:rPr>
                <w:rFonts w:ascii="Times New Roman"/>
                <w:color w:val="000000"/>
                <w:sz w:val="24"/>
              </w:rPr>
            </w:pPr>
            <w:r>
              <w:rPr>
                <w:rFonts w:hint="eastAsia" w:ascii="Times New Roman"/>
                <w:color w:val="000000"/>
                <w:sz w:val="24"/>
              </w:rPr>
              <w:t>年月 日</w:t>
            </w:r>
          </w:p>
        </w:tc>
        <w:tc>
          <w:tcPr>
            <w:tcW w:w="1140"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结案时间</w:t>
            </w:r>
          </w:p>
        </w:tc>
        <w:tc>
          <w:tcPr>
            <w:tcW w:w="2630" w:type="dxa"/>
            <w:vAlign w:val="center"/>
          </w:tcPr>
          <w:p>
            <w:pPr>
              <w:adjustRightInd w:val="0"/>
              <w:snapToGrid w:val="0"/>
              <w:spacing w:line="300" w:lineRule="exact"/>
              <w:jc w:val="right"/>
              <w:rPr>
                <w:rFonts w:ascii="Times New Roman"/>
                <w:color w:val="000000"/>
                <w:sz w:val="24"/>
              </w:rPr>
            </w:pPr>
            <w:r>
              <w:rPr>
                <w:rFonts w:hint="eastAsia" w:ascii="Times New Roman"/>
                <w:color w:val="000000"/>
                <w:sz w:val="24"/>
              </w:rPr>
              <w:t>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6" w:hRule="atLeast"/>
          <w:jc w:val="center"/>
        </w:trPr>
        <w:tc>
          <w:tcPr>
            <w:tcW w:w="1247"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涉案金额</w:t>
            </w:r>
          </w:p>
        </w:tc>
        <w:tc>
          <w:tcPr>
            <w:tcW w:w="1300" w:type="dxa"/>
            <w:vAlign w:val="center"/>
          </w:tcPr>
          <w:p>
            <w:pPr>
              <w:adjustRightInd w:val="0"/>
              <w:snapToGrid w:val="0"/>
              <w:spacing w:line="300" w:lineRule="exact"/>
              <w:jc w:val="right"/>
              <w:rPr>
                <w:rFonts w:ascii="Times New Roman"/>
                <w:color w:val="000000"/>
                <w:sz w:val="24"/>
              </w:rPr>
            </w:pPr>
            <w:r>
              <w:rPr>
                <w:rFonts w:hint="eastAsia" w:ascii="Times New Roman"/>
                <w:color w:val="000000"/>
                <w:sz w:val="24"/>
              </w:rPr>
              <w:t>（万元）</w:t>
            </w:r>
          </w:p>
        </w:tc>
        <w:tc>
          <w:tcPr>
            <w:tcW w:w="1130" w:type="dxa"/>
            <w:vAlign w:val="center"/>
          </w:tcPr>
          <w:p>
            <w:pPr>
              <w:adjustRightInd w:val="0"/>
              <w:snapToGrid w:val="0"/>
              <w:spacing w:line="300" w:lineRule="exact"/>
              <w:jc w:val="center"/>
              <w:rPr>
                <w:rFonts w:ascii="Times New Roman"/>
                <w:color w:val="000000"/>
                <w:sz w:val="24"/>
              </w:rPr>
            </w:pPr>
            <w:r>
              <w:rPr>
                <w:rFonts w:hint="eastAsia" w:ascii="Times New Roman" w:eastAsia="黑体"/>
                <w:color w:val="000000"/>
                <w:sz w:val="24"/>
              </w:rPr>
              <w:t>是否调解</w:t>
            </w:r>
          </w:p>
        </w:tc>
        <w:tc>
          <w:tcPr>
            <w:tcW w:w="1440" w:type="dxa"/>
            <w:vAlign w:val="center"/>
          </w:tcPr>
          <w:p>
            <w:pPr>
              <w:adjustRightInd w:val="0"/>
              <w:snapToGrid w:val="0"/>
              <w:spacing w:line="300" w:lineRule="exact"/>
              <w:ind w:firstLine="120" w:firstLineChars="50"/>
              <w:jc w:val="left"/>
              <w:rPr>
                <w:rFonts w:ascii="Times New Roman"/>
                <w:color w:val="000000"/>
                <w:sz w:val="24"/>
              </w:rPr>
            </w:pPr>
            <w:r>
              <w:rPr>
                <w:rFonts w:hint="eastAsia" w:ascii="Times New Roman" w:eastAsia="MS Gothic"/>
                <w:color w:val="000000"/>
                <w:sz w:val="24"/>
              </w:rPr>
              <w:t>☐</w:t>
            </w:r>
            <w:r>
              <w:rPr>
                <w:rFonts w:hint="eastAsia" w:ascii="Times New Roman"/>
                <w:color w:val="000000"/>
                <w:sz w:val="24"/>
              </w:rPr>
              <w:t xml:space="preserve">是 </w:t>
            </w:r>
            <w:r>
              <w:rPr>
                <w:rFonts w:hint="eastAsia" w:ascii="Times New Roman" w:eastAsia="MS Gothic"/>
                <w:color w:val="000000"/>
                <w:sz w:val="24"/>
              </w:rPr>
              <w:t>☐</w:t>
            </w:r>
            <w:r>
              <w:rPr>
                <w:rFonts w:hint="eastAsia" w:ascii="Times New Roman"/>
                <w:color w:val="000000"/>
                <w:sz w:val="24"/>
              </w:rPr>
              <w:t>否</w:t>
            </w:r>
          </w:p>
        </w:tc>
        <w:tc>
          <w:tcPr>
            <w:tcW w:w="1140"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赔偿数额</w:t>
            </w:r>
          </w:p>
        </w:tc>
        <w:tc>
          <w:tcPr>
            <w:tcW w:w="2630" w:type="dxa"/>
            <w:vAlign w:val="center"/>
          </w:tcPr>
          <w:p>
            <w:pPr>
              <w:adjustRightInd w:val="0"/>
              <w:snapToGrid w:val="0"/>
              <w:spacing w:line="300" w:lineRule="exact"/>
              <w:jc w:val="right"/>
              <w:rPr>
                <w:rFonts w:ascii="Times New Roman"/>
                <w:color w:val="000000"/>
                <w:sz w:val="24"/>
              </w:rPr>
            </w:pPr>
            <w:r>
              <w:rPr>
                <w:rFonts w:hint="eastAsia" w:ascii="Times New Roman"/>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3" w:hRule="atLeast"/>
          <w:jc w:val="center"/>
        </w:trPr>
        <w:tc>
          <w:tcPr>
            <w:tcW w:w="1247"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涉案环节</w:t>
            </w:r>
          </w:p>
        </w:tc>
        <w:tc>
          <w:tcPr>
            <w:tcW w:w="3870" w:type="dxa"/>
            <w:gridSpan w:val="3"/>
            <w:vAlign w:val="center"/>
          </w:tcPr>
          <w:p>
            <w:pPr>
              <w:adjustRightInd w:val="0"/>
              <w:snapToGrid w:val="0"/>
              <w:spacing w:line="300" w:lineRule="exact"/>
              <w:ind w:firstLine="120" w:firstLineChars="50"/>
              <w:rPr>
                <w:rFonts w:ascii="Times New Roman"/>
                <w:color w:val="000000"/>
                <w:sz w:val="24"/>
              </w:rPr>
            </w:pPr>
            <w:r>
              <w:rPr>
                <w:rFonts w:hint="eastAsia" w:ascii="Times New Roman" w:eastAsia="MS Gothic"/>
                <w:color w:val="000000"/>
                <w:sz w:val="24"/>
              </w:rPr>
              <w:t>☐</w:t>
            </w:r>
            <w:r>
              <w:rPr>
                <w:rFonts w:hint="eastAsia" w:ascii="Times New Roman"/>
                <w:color w:val="000000"/>
                <w:sz w:val="24"/>
              </w:rPr>
              <w:t xml:space="preserve">生产 </w:t>
            </w:r>
            <w:r>
              <w:rPr>
                <w:rFonts w:hint="eastAsia" w:ascii="Times New Roman" w:eastAsia="MS Gothic"/>
                <w:color w:val="000000"/>
                <w:sz w:val="24"/>
              </w:rPr>
              <w:t>☐</w:t>
            </w:r>
            <w:r>
              <w:rPr>
                <w:rFonts w:hint="eastAsia" w:ascii="Times New Roman"/>
                <w:color w:val="000000"/>
                <w:sz w:val="24"/>
              </w:rPr>
              <w:t xml:space="preserve">经营 </w:t>
            </w:r>
          </w:p>
        </w:tc>
        <w:tc>
          <w:tcPr>
            <w:tcW w:w="1140"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本省以外涉案省（区、市）</w:t>
            </w:r>
          </w:p>
        </w:tc>
        <w:tc>
          <w:tcPr>
            <w:tcW w:w="2630" w:type="dxa"/>
            <w:vAlign w:val="center"/>
          </w:tcPr>
          <w:p>
            <w:pPr>
              <w:adjustRightInd w:val="0"/>
              <w:snapToGrid w:val="0"/>
              <w:spacing w:line="300" w:lineRule="exact"/>
              <w:jc w:val="right"/>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5" w:hRule="atLeast"/>
          <w:jc w:val="center"/>
        </w:trPr>
        <w:tc>
          <w:tcPr>
            <w:tcW w:w="1247"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是否处罚</w:t>
            </w:r>
          </w:p>
        </w:tc>
        <w:tc>
          <w:tcPr>
            <w:tcW w:w="3870" w:type="dxa"/>
            <w:gridSpan w:val="3"/>
            <w:vAlign w:val="center"/>
          </w:tcPr>
          <w:p>
            <w:pPr>
              <w:adjustRightInd w:val="0"/>
              <w:snapToGrid w:val="0"/>
              <w:spacing w:line="300" w:lineRule="exact"/>
              <w:ind w:firstLine="120" w:firstLineChars="50"/>
              <w:rPr>
                <w:rFonts w:ascii="Times New Roman"/>
                <w:color w:val="000000"/>
                <w:sz w:val="24"/>
              </w:rPr>
            </w:pPr>
            <w:r>
              <w:rPr>
                <w:rFonts w:hint="eastAsia" w:ascii="Times New Roman" w:eastAsia="MS Gothic"/>
                <w:color w:val="000000"/>
                <w:sz w:val="24"/>
              </w:rPr>
              <w:t>☐</w:t>
            </w:r>
            <w:r>
              <w:rPr>
                <w:rFonts w:hint="eastAsia" w:ascii="Times New Roman"/>
                <w:color w:val="000000"/>
                <w:sz w:val="24"/>
              </w:rPr>
              <w:t xml:space="preserve">是 </w:t>
            </w:r>
            <w:r>
              <w:rPr>
                <w:rFonts w:hint="eastAsia" w:ascii="Times New Roman" w:eastAsia="MS Gothic"/>
                <w:color w:val="000000"/>
                <w:sz w:val="24"/>
              </w:rPr>
              <w:t>☐</w:t>
            </w:r>
            <w:r>
              <w:rPr>
                <w:rFonts w:hint="eastAsia" w:ascii="Times New Roman"/>
                <w:color w:val="000000"/>
                <w:sz w:val="24"/>
              </w:rPr>
              <w:t>否</w:t>
            </w:r>
          </w:p>
        </w:tc>
        <w:tc>
          <w:tcPr>
            <w:tcW w:w="1140"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作出处罚时间</w:t>
            </w:r>
          </w:p>
        </w:tc>
        <w:tc>
          <w:tcPr>
            <w:tcW w:w="2630" w:type="dxa"/>
            <w:vAlign w:val="center"/>
          </w:tcPr>
          <w:p>
            <w:pPr>
              <w:adjustRightInd w:val="0"/>
              <w:snapToGrid w:val="0"/>
              <w:spacing w:line="300" w:lineRule="exact"/>
              <w:jc w:val="right"/>
              <w:rPr>
                <w:rFonts w:ascii="Times New Roman"/>
                <w:color w:val="000000"/>
                <w:sz w:val="24"/>
              </w:rPr>
            </w:pPr>
            <w:r>
              <w:rPr>
                <w:rFonts w:hint="eastAsia" w:ascii="Times New Roman"/>
                <w:color w:val="000000"/>
                <w:sz w:val="24"/>
              </w:rPr>
              <w:t>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247" w:type="dxa"/>
            <w:vMerge w:val="restart"/>
            <w:vAlign w:val="center"/>
          </w:tcPr>
          <w:p>
            <w:pPr>
              <w:adjustRightInd w:val="0"/>
              <w:snapToGrid w:val="0"/>
              <w:spacing w:line="260" w:lineRule="exact"/>
              <w:jc w:val="center"/>
              <w:rPr>
                <w:rFonts w:ascii="Times New Roman" w:eastAsia="黑体"/>
                <w:color w:val="000000"/>
                <w:sz w:val="24"/>
              </w:rPr>
            </w:pPr>
            <w:r>
              <w:rPr>
                <w:rFonts w:hint="eastAsia" w:ascii="Times New Roman" w:eastAsia="黑体"/>
                <w:color w:val="000000"/>
                <w:sz w:val="24"/>
              </w:rPr>
              <w:t>处罚决定</w:t>
            </w:r>
          </w:p>
          <w:p>
            <w:pPr>
              <w:adjustRightInd w:val="0"/>
              <w:snapToGrid w:val="0"/>
              <w:spacing w:line="260" w:lineRule="exact"/>
              <w:jc w:val="center"/>
              <w:rPr>
                <w:rFonts w:ascii="Times New Roman" w:eastAsia="黑体"/>
                <w:color w:val="000000"/>
                <w:sz w:val="24"/>
              </w:rPr>
            </w:pPr>
            <w:r>
              <w:rPr>
                <w:rFonts w:hint="eastAsia" w:ascii="Times New Roman" w:eastAsia="黑体"/>
                <w:color w:val="000000"/>
                <w:sz w:val="24"/>
              </w:rPr>
              <w:t>内容</w:t>
            </w:r>
          </w:p>
        </w:tc>
        <w:tc>
          <w:tcPr>
            <w:tcW w:w="3870" w:type="dxa"/>
            <w:gridSpan w:val="3"/>
            <w:vMerge w:val="restart"/>
          </w:tcPr>
          <w:p>
            <w:pPr>
              <w:adjustRightInd w:val="0"/>
              <w:snapToGrid w:val="0"/>
              <w:spacing w:line="240" w:lineRule="exact"/>
              <w:rPr>
                <w:rFonts w:ascii="Times New Roman"/>
                <w:color w:val="000000"/>
                <w:szCs w:val="21"/>
              </w:rPr>
            </w:pPr>
          </w:p>
        </w:tc>
        <w:tc>
          <w:tcPr>
            <w:tcW w:w="1140" w:type="dxa"/>
            <w:vAlign w:val="center"/>
          </w:tcPr>
          <w:p>
            <w:pPr>
              <w:adjustRightInd w:val="0"/>
              <w:snapToGrid w:val="0"/>
              <w:spacing w:line="300" w:lineRule="exact"/>
              <w:jc w:val="center"/>
              <w:rPr>
                <w:rFonts w:ascii="Times New Roman"/>
                <w:color w:val="000000"/>
                <w:sz w:val="24"/>
              </w:rPr>
            </w:pPr>
            <w:r>
              <w:rPr>
                <w:rFonts w:hint="eastAsia" w:ascii="Times New Roman" w:eastAsia="黑体"/>
                <w:color w:val="000000"/>
                <w:sz w:val="24"/>
              </w:rPr>
              <w:t>罚款数额</w:t>
            </w:r>
          </w:p>
        </w:tc>
        <w:tc>
          <w:tcPr>
            <w:tcW w:w="2630" w:type="dxa"/>
            <w:vAlign w:val="center"/>
          </w:tcPr>
          <w:p>
            <w:pPr>
              <w:adjustRightInd w:val="0"/>
              <w:snapToGrid w:val="0"/>
              <w:spacing w:line="300" w:lineRule="exact"/>
              <w:jc w:val="right"/>
              <w:rPr>
                <w:rFonts w:ascii="Times New Roman"/>
                <w:color w:val="000000"/>
                <w:sz w:val="24"/>
              </w:rPr>
            </w:pPr>
            <w:r>
              <w:rPr>
                <w:rFonts w:hint="eastAsia" w:ascii="Times New Roman"/>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2" w:hRule="atLeast"/>
          <w:jc w:val="center"/>
        </w:trPr>
        <w:tc>
          <w:tcPr>
            <w:tcW w:w="1247" w:type="dxa"/>
            <w:vMerge w:val="continue"/>
            <w:vAlign w:val="center"/>
          </w:tcPr>
          <w:p>
            <w:pPr>
              <w:adjustRightInd w:val="0"/>
              <w:snapToGrid w:val="0"/>
              <w:spacing w:line="300" w:lineRule="exact"/>
              <w:jc w:val="center"/>
              <w:rPr>
                <w:rFonts w:ascii="Times New Roman" w:eastAsia="黑体"/>
                <w:color w:val="000000"/>
                <w:sz w:val="24"/>
              </w:rPr>
            </w:pPr>
          </w:p>
        </w:tc>
        <w:tc>
          <w:tcPr>
            <w:tcW w:w="3870" w:type="dxa"/>
            <w:gridSpan w:val="3"/>
            <w:vMerge w:val="continue"/>
          </w:tcPr>
          <w:p>
            <w:pPr>
              <w:adjustRightInd w:val="0"/>
              <w:snapToGrid w:val="0"/>
              <w:spacing w:line="300" w:lineRule="exact"/>
              <w:rPr>
                <w:rFonts w:ascii="Times New Roman"/>
                <w:color w:val="000000"/>
                <w:sz w:val="24"/>
              </w:rPr>
            </w:pPr>
          </w:p>
        </w:tc>
        <w:tc>
          <w:tcPr>
            <w:tcW w:w="1140" w:type="dxa"/>
            <w:vAlign w:val="center"/>
          </w:tcPr>
          <w:p>
            <w:pPr>
              <w:adjustRightInd w:val="0"/>
              <w:snapToGrid w:val="0"/>
              <w:spacing w:line="260" w:lineRule="exact"/>
              <w:jc w:val="center"/>
              <w:rPr>
                <w:rFonts w:ascii="Times New Roman" w:eastAsia="黑体"/>
                <w:color w:val="000000"/>
                <w:sz w:val="24"/>
              </w:rPr>
            </w:pPr>
            <w:r>
              <w:rPr>
                <w:rFonts w:hint="eastAsia" w:ascii="Times New Roman" w:eastAsia="黑体"/>
                <w:color w:val="000000"/>
                <w:sz w:val="24"/>
              </w:rPr>
              <w:t>没收违法</w:t>
            </w:r>
          </w:p>
          <w:p>
            <w:pPr>
              <w:adjustRightInd w:val="0"/>
              <w:snapToGrid w:val="0"/>
              <w:spacing w:line="260" w:lineRule="exact"/>
              <w:jc w:val="center"/>
              <w:rPr>
                <w:rFonts w:ascii="Times New Roman"/>
                <w:color w:val="000000"/>
                <w:sz w:val="24"/>
              </w:rPr>
            </w:pPr>
            <w:r>
              <w:rPr>
                <w:rFonts w:hint="eastAsia" w:ascii="Times New Roman" w:eastAsia="黑体"/>
                <w:color w:val="000000"/>
                <w:sz w:val="24"/>
              </w:rPr>
              <w:t>所得</w:t>
            </w:r>
          </w:p>
        </w:tc>
        <w:tc>
          <w:tcPr>
            <w:tcW w:w="2630" w:type="dxa"/>
            <w:vAlign w:val="center"/>
          </w:tcPr>
          <w:p>
            <w:pPr>
              <w:adjustRightInd w:val="0"/>
              <w:snapToGrid w:val="0"/>
              <w:spacing w:line="300" w:lineRule="exact"/>
              <w:jc w:val="right"/>
              <w:rPr>
                <w:rFonts w:ascii="Times New Roman"/>
                <w:color w:val="000000"/>
                <w:sz w:val="24"/>
              </w:rPr>
            </w:pPr>
            <w:r>
              <w:rPr>
                <w:rFonts w:hint="eastAsia" w:ascii="Times New Roman"/>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247" w:type="dxa"/>
            <w:vAlign w:val="center"/>
          </w:tcPr>
          <w:p>
            <w:pPr>
              <w:adjustRightInd w:val="0"/>
              <w:snapToGrid w:val="0"/>
              <w:spacing w:line="260" w:lineRule="exact"/>
              <w:jc w:val="center"/>
              <w:rPr>
                <w:rFonts w:ascii="Times New Roman" w:eastAsia="黑体"/>
                <w:color w:val="000000"/>
                <w:sz w:val="24"/>
              </w:rPr>
            </w:pPr>
            <w:r>
              <w:rPr>
                <w:rFonts w:hint="eastAsia" w:ascii="Times New Roman" w:eastAsia="黑体"/>
                <w:color w:val="000000"/>
                <w:sz w:val="24"/>
              </w:rPr>
              <w:t>其他处理</w:t>
            </w:r>
          </w:p>
          <w:p>
            <w:pPr>
              <w:adjustRightInd w:val="0"/>
              <w:snapToGrid w:val="0"/>
              <w:spacing w:line="260" w:lineRule="exact"/>
              <w:jc w:val="center"/>
              <w:rPr>
                <w:rFonts w:ascii="Times New Roman" w:eastAsia="黑体"/>
                <w:color w:val="000000"/>
                <w:sz w:val="24"/>
              </w:rPr>
            </w:pPr>
            <w:r>
              <w:rPr>
                <w:rFonts w:hint="eastAsia" w:ascii="Times New Roman" w:eastAsia="黑体"/>
                <w:color w:val="000000"/>
                <w:sz w:val="24"/>
              </w:rPr>
              <w:t>内容</w:t>
            </w:r>
          </w:p>
        </w:tc>
        <w:tc>
          <w:tcPr>
            <w:tcW w:w="7640" w:type="dxa"/>
            <w:gridSpan w:val="5"/>
            <w:vAlign w:val="center"/>
          </w:tcPr>
          <w:p>
            <w:pPr>
              <w:adjustRightInd w:val="0"/>
              <w:snapToGrid w:val="0"/>
              <w:spacing w:line="300" w:lineRule="exact"/>
              <w:rPr>
                <w:rFonts w:ascii="Times New Roman"/>
                <w:color w:val="000000"/>
                <w:sz w:val="24"/>
              </w:rPr>
            </w:pPr>
            <w:r>
              <w:rPr>
                <w:rFonts w:hint="eastAsia" w:ascii="Times New Roman" w:eastAsia="MS Gothic"/>
                <w:color w:val="000000"/>
                <w:sz w:val="24"/>
              </w:rPr>
              <w:t>☐</w:t>
            </w:r>
            <w:r>
              <w:rPr>
                <w:rFonts w:hint="eastAsia" w:ascii="Times New Roman"/>
                <w:color w:val="000000"/>
                <w:sz w:val="24"/>
              </w:rPr>
              <w:t>列入经营异常名录☐列入严重违法失信名单</w:t>
            </w:r>
            <w:r>
              <w:rPr>
                <w:rFonts w:hint="eastAsia" w:ascii="Times New Roman" w:eastAsia="MS Gothic"/>
                <w:color w:val="000000"/>
                <w:sz w:val="24"/>
              </w:rPr>
              <w:t>☐</w:t>
            </w:r>
            <w:r>
              <w:rPr>
                <w:rFonts w:hint="eastAsia" w:ascii="Times New Roman"/>
                <w:color w:val="000000"/>
                <w:sz w:val="24"/>
              </w:rPr>
              <w:t>另案处理</w:t>
            </w:r>
            <w:r>
              <w:rPr>
                <w:rFonts w:hint="eastAsia" w:ascii="Times New Roman" w:eastAsia="MS Gothic"/>
                <w:color w:val="000000"/>
                <w:sz w:val="24"/>
              </w:rPr>
              <w:t>☐</w:t>
            </w:r>
            <w:r>
              <w:rPr>
                <w:rFonts w:hint="eastAsia" w:ascii="Times New Roman"/>
                <w:color w:val="000000"/>
                <w:sz w:val="24"/>
              </w:rPr>
              <w:t>约谈</w:t>
            </w:r>
            <w:r>
              <w:rPr>
                <w:rFonts w:hint="eastAsia" w:ascii="Times New Roman" w:eastAsia="MS Gothic"/>
                <w:color w:val="000000"/>
                <w:sz w:val="24"/>
              </w:rPr>
              <w:t>☐</w:t>
            </w:r>
            <w:r>
              <w:rPr>
                <w:rFonts w:hint="eastAsia" w:ascii="Times New Roman"/>
                <w:color w:val="000000"/>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247"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案件移送</w:t>
            </w:r>
          </w:p>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公安机关</w:t>
            </w:r>
          </w:p>
        </w:tc>
        <w:tc>
          <w:tcPr>
            <w:tcW w:w="3870" w:type="dxa"/>
            <w:gridSpan w:val="3"/>
            <w:vAlign w:val="center"/>
          </w:tcPr>
          <w:p>
            <w:pPr>
              <w:adjustRightInd w:val="0"/>
              <w:snapToGrid w:val="0"/>
              <w:spacing w:line="300" w:lineRule="exact"/>
              <w:ind w:firstLine="120" w:firstLineChars="50"/>
              <w:rPr>
                <w:rFonts w:ascii="Times New Roman"/>
                <w:color w:val="000000"/>
                <w:sz w:val="24"/>
              </w:rPr>
            </w:pPr>
            <w:r>
              <w:rPr>
                <w:rFonts w:hint="eastAsia" w:ascii="Times New Roman" w:eastAsia="MS Gothic"/>
                <w:color w:val="000000"/>
                <w:sz w:val="24"/>
              </w:rPr>
              <w:t>☐</w:t>
            </w:r>
            <w:r>
              <w:rPr>
                <w:rFonts w:hint="eastAsia" w:ascii="Times New Roman"/>
                <w:color w:val="000000"/>
                <w:sz w:val="24"/>
              </w:rPr>
              <w:t xml:space="preserve">是 </w:t>
            </w:r>
            <w:r>
              <w:rPr>
                <w:rFonts w:hint="eastAsia" w:ascii="Times New Roman" w:eastAsia="MS Gothic"/>
                <w:color w:val="000000"/>
                <w:sz w:val="24"/>
              </w:rPr>
              <w:t>☐</w:t>
            </w:r>
            <w:r>
              <w:rPr>
                <w:rFonts w:hint="eastAsia" w:ascii="Times New Roman"/>
                <w:color w:val="000000"/>
                <w:sz w:val="24"/>
              </w:rPr>
              <w:t>否</w:t>
            </w:r>
          </w:p>
        </w:tc>
        <w:tc>
          <w:tcPr>
            <w:tcW w:w="1140"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移送时间</w:t>
            </w:r>
          </w:p>
        </w:tc>
        <w:tc>
          <w:tcPr>
            <w:tcW w:w="2630" w:type="dxa"/>
            <w:vAlign w:val="center"/>
          </w:tcPr>
          <w:p>
            <w:pPr>
              <w:adjustRightInd w:val="0"/>
              <w:snapToGrid w:val="0"/>
              <w:spacing w:line="300" w:lineRule="exact"/>
              <w:jc w:val="right"/>
              <w:rPr>
                <w:rFonts w:ascii="Times New Roman"/>
                <w:color w:val="000000"/>
                <w:sz w:val="24"/>
              </w:rPr>
            </w:pPr>
            <w:r>
              <w:rPr>
                <w:rFonts w:hint="eastAsia" w:ascii="Times New Roman"/>
                <w:color w:val="000000"/>
                <w:sz w:val="24"/>
              </w:rPr>
              <w:t>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6" w:hRule="atLeast"/>
          <w:jc w:val="center"/>
        </w:trPr>
        <w:tc>
          <w:tcPr>
            <w:tcW w:w="1247"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通报情况</w:t>
            </w:r>
          </w:p>
        </w:tc>
        <w:tc>
          <w:tcPr>
            <w:tcW w:w="3870" w:type="dxa"/>
            <w:gridSpan w:val="3"/>
            <w:vAlign w:val="center"/>
          </w:tcPr>
          <w:p>
            <w:pPr>
              <w:adjustRightInd w:val="0"/>
              <w:snapToGrid w:val="0"/>
              <w:spacing w:line="300" w:lineRule="exact"/>
              <w:ind w:firstLine="120" w:firstLineChars="50"/>
              <w:rPr>
                <w:rFonts w:ascii="Times New Roman"/>
                <w:color w:val="000000"/>
                <w:sz w:val="24"/>
              </w:rPr>
            </w:pPr>
            <w:r>
              <w:rPr>
                <w:rFonts w:hint="eastAsia" w:ascii="Times New Roman" w:eastAsia="MS Gothic"/>
                <w:color w:val="000000"/>
                <w:sz w:val="24"/>
              </w:rPr>
              <w:t>☐</w:t>
            </w:r>
            <w:r>
              <w:rPr>
                <w:rFonts w:hint="eastAsia" w:ascii="Times New Roman"/>
                <w:color w:val="000000"/>
                <w:sz w:val="24"/>
              </w:rPr>
              <w:t xml:space="preserve">未通报 </w:t>
            </w:r>
            <w:r>
              <w:rPr>
                <w:rFonts w:hint="eastAsia" w:ascii="Times New Roman" w:eastAsia="MS Gothic"/>
                <w:color w:val="000000"/>
                <w:sz w:val="24"/>
              </w:rPr>
              <w:t>☐</w:t>
            </w:r>
            <w:r>
              <w:rPr>
                <w:rFonts w:hint="eastAsia" w:ascii="Times New Roman"/>
                <w:color w:val="000000"/>
                <w:sz w:val="24"/>
              </w:rPr>
              <w:t xml:space="preserve">通报部门： </w:t>
            </w:r>
          </w:p>
        </w:tc>
        <w:tc>
          <w:tcPr>
            <w:tcW w:w="1140" w:type="dxa"/>
            <w:vAlign w:val="center"/>
          </w:tcPr>
          <w:p>
            <w:pPr>
              <w:adjustRightInd w:val="0"/>
              <w:snapToGrid w:val="0"/>
              <w:spacing w:line="300" w:lineRule="exact"/>
              <w:jc w:val="center"/>
              <w:rPr>
                <w:rFonts w:ascii="Times New Roman" w:eastAsia="黑体"/>
                <w:color w:val="000000"/>
                <w:sz w:val="24"/>
              </w:rPr>
            </w:pPr>
            <w:r>
              <w:rPr>
                <w:rFonts w:hint="eastAsia" w:ascii="Times New Roman" w:eastAsia="黑体"/>
                <w:color w:val="000000"/>
                <w:sz w:val="24"/>
              </w:rPr>
              <w:t>通报时间</w:t>
            </w:r>
          </w:p>
        </w:tc>
        <w:tc>
          <w:tcPr>
            <w:tcW w:w="2630" w:type="dxa"/>
            <w:vAlign w:val="center"/>
          </w:tcPr>
          <w:p>
            <w:pPr>
              <w:adjustRightInd w:val="0"/>
              <w:snapToGrid w:val="0"/>
              <w:spacing w:line="300" w:lineRule="exact"/>
              <w:jc w:val="right"/>
              <w:rPr>
                <w:rFonts w:ascii="Times New Roman"/>
                <w:color w:val="000000"/>
                <w:sz w:val="24"/>
              </w:rPr>
            </w:pPr>
            <w:r>
              <w:rPr>
                <w:rFonts w:hint="eastAsia" w:ascii="Times New Roman"/>
                <w:color w:val="000000"/>
                <w:sz w:val="24"/>
              </w:rPr>
              <w:t>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0" w:hRule="atLeast"/>
          <w:jc w:val="center"/>
        </w:trPr>
        <w:tc>
          <w:tcPr>
            <w:tcW w:w="1247" w:type="dxa"/>
            <w:vAlign w:val="center"/>
          </w:tcPr>
          <w:p>
            <w:pPr>
              <w:adjustRightInd w:val="0"/>
              <w:snapToGrid w:val="0"/>
              <w:spacing w:line="260" w:lineRule="exact"/>
              <w:rPr>
                <w:rFonts w:ascii="Times New Roman"/>
                <w:color w:val="000000"/>
                <w:sz w:val="24"/>
              </w:rPr>
            </w:pPr>
            <w:r>
              <w:rPr>
                <w:rFonts w:hint="eastAsia" w:ascii="Times New Roman" w:eastAsia="黑体"/>
                <w:color w:val="000000"/>
                <w:sz w:val="24"/>
              </w:rPr>
              <w:t>案情摘要（线索核查情况；调查经过、违法事实、处理结果；产生的效果和社会影响等）</w:t>
            </w:r>
          </w:p>
        </w:tc>
        <w:tc>
          <w:tcPr>
            <w:tcW w:w="7640" w:type="dxa"/>
            <w:gridSpan w:val="5"/>
          </w:tcPr>
          <w:p>
            <w:pPr>
              <w:adjustRightInd w:val="0"/>
              <w:snapToGrid w:val="0"/>
              <w:spacing w:line="240" w:lineRule="exact"/>
              <w:ind w:firstLine="480" w:firstLineChars="200"/>
              <w:jc w:val="left"/>
              <w:rPr>
                <w:rFonts w:ascii="Times New Roman" w:eastAsia="黑体"/>
                <w:color w:val="000000"/>
                <w:sz w:val="24"/>
              </w:rPr>
            </w:pPr>
          </w:p>
          <w:p>
            <w:pPr>
              <w:adjustRightInd w:val="0"/>
              <w:snapToGrid w:val="0"/>
              <w:spacing w:line="240" w:lineRule="exact"/>
              <w:ind w:firstLine="480" w:firstLineChars="200"/>
              <w:jc w:val="left"/>
              <w:rPr>
                <w:rFonts w:ascii="Times New Roman"/>
                <w:color w:val="000000"/>
                <w:szCs w:val="21"/>
              </w:rPr>
            </w:pPr>
            <w:r>
              <w:rPr>
                <w:rFonts w:hint="eastAsia" w:ascii="Times New Roman" w:eastAsia="黑体"/>
                <w:color w:val="000000"/>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04" w:hRule="atLeast"/>
          <w:jc w:val="center"/>
        </w:trPr>
        <w:tc>
          <w:tcPr>
            <w:tcW w:w="1247" w:type="dxa"/>
            <w:vAlign w:val="center"/>
          </w:tcPr>
          <w:p>
            <w:pPr>
              <w:adjustRightInd w:val="0"/>
              <w:snapToGrid w:val="0"/>
              <w:spacing w:line="260" w:lineRule="exact"/>
              <w:jc w:val="center"/>
              <w:rPr>
                <w:rFonts w:ascii="Times New Roman" w:eastAsia="黑体"/>
                <w:color w:val="000000"/>
                <w:sz w:val="24"/>
              </w:rPr>
            </w:pPr>
            <w:r>
              <w:rPr>
                <w:rFonts w:hint="eastAsia" w:ascii="Times New Roman" w:eastAsia="黑体"/>
                <w:color w:val="000000"/>
                <w:sz w:val="24"/>
              </w:rPr>
              <w:t>是否</w:t>
            </w:r>
          </w:p>
          <w:p>
            <w:pPr>
              <w:adjustRightInd w:val="0"/>
              <w:snapToGrid w:val="0"/>
              <w:spacing w:line="260" w:lineRule="exact"/>
              <w:jc w:val="center"/>
              <w:rPr>
                <w:rFonts w:ascii="Times New Roman" w:eastAsia="黑体"/>
                <w:color w:val="000000"/>
                <w:sz w:val="24"/>
              </w:rPr>
            </w:pPr>
            <w:r>
              <w:rPr>
                <w:rFonts w:hint="eastAsia" w:ascii="Times New Roman" w:eastAsia="黑体"/>
                <w:color w:val="000000"/>
                <w:sz w:val="24"/>
              </w:rPr>
              <w:t>已公开</w:t>
            </w:r>
          </w:p>
        </w:tc>
        <w:tc>
          <w:tcPr>
            <w:tcW w:w="7640" w:type="dxa"/>
            <w:gridSpan w:val="5"/>
            <w:vAlign w:val="center"/>
          </w:tcPr>
          <w:p>
            <w:pPr>
              <w:adjustRightInd w:val="0"/>
              <w:snapToGrid w:val="0"/>
              <w:spacing w:line="260" w:lineRule="exact"/>
              <w:ind w:firstLine="120" w:firstLineChars="50"/>
              <w:rPr>
                <w:rFonts w:ascii="Times New Roman"/>
                <w:color w:val="000000"/>
                <w:sz w:val="24"/>
              </w:rPr>
            </w:pPr>
            <w:r>
              <w:rPr>
                <w:rFonts w:hint="eastAsia" w:ascii="Times New Roman" w:eastAsia="MS Gothic"/>
                <w:color w:val="000000"/>
                <w:sz w:val="24"/>
              </w:rPr>
              <w:t>☐</w:t>
            </w:r>
            <w:r>
              <w:rPr>
                <w:rFonts w:hint="eastAsia" w:ascii="Times New Roman"/>
                <w:color w:val="000000"/>
                <w:sz w:val="24"/>
              </w:rPr>
              <w:t>是</w:t>
            </w:r>
            <w:r>
              <w:rPr>
                <w:rFonts w:hint="eastAsia" w:ascii="Times New Roman" w:eastAsia="MS Gothic"/>
                <w:color w:val="000000"/>
                <w:sz w:val="24"/>
              </w:rPr>
              <w:t>☐</w:t>
            </w:r>
            <w:r>
              <w:rPr>
                <w:rFonts w:hint="eastAsia" w:ascii="Times New Roman"/>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1247" w:type="dxa"/>
            <w:vAlign w:val="center"/>
          </w:tcPr>
          <w:p>
            <w:pPr>
              <w:adjustRightInd w:val="0"/>
              <w:snapToGrid w:val="0"/>
              <w:spacing w:line="260" w:lineRule="exact"/>
              <w:jc w:val="center"/>
              <w:rPr>
                <w:rFonts w:ascii="Times New Roman" w:eastAsia="黑体"/>
                <w:color w:val="000000"/>
                <w:sz w:val="24"/>
              </w:rPr>
            </w:pPr>
            <w:r>
              <w:rPr>
                <w:rFonts w:hint="eastAsia" w:ascii="Times New Roman" w:eastAsia="黑体"/>
                <w:color w:val="000000"/>
                <w:sz w:val="24"/>
              </w:rPr>
              <w:t>承办部门</w:t>
            </w:r>
          </w:p>
        </w:tc>
        <w:tc>
          <w:tcPr>
            <w:tcW w:w="3870" w:type="dxa"/>
            <w:gridSpan w:val="3"/>
            <w:vAlign w:val="center"/>
          </w:tcPr>
          <w:p>
            <w:pPr>
              <w:adjustRightInd w:val="0"/>
              <w:snapToGrid w:val="0"/>
              <w:spacing w:line="260" w:lineRule="exact"/>
              <w:rPr>
                <w:rFonts w:ascii="Times New Roman"/>
                <w:color w:val="000000"/>
                <w:sz w:val="24"/>
              </w:rPr>
            </w:pPr>
          </w:p>
        </w:tc>
        <w:tc>
          <w:tcPr>
            <w:tcW w:w="1140" w:type="dxa"/>
            <w:vAlign w:val="center"/>
          </w:tcPr>
          <w:p>
            <w:pPr>
              <w:adjustRightInd w:val="0"/>
              <w:snapToGrid w:val="0"/>
              <w:spacing w:line="260" w:lineRule="exact"/>
              <w:jc w:val="center"/>
              <w:rPr>
                <w:rFonts w:ascii="Times New Roman"/>
                <w:color w:val="000000"/>
                <w:sz w:val="24"/>
              </w:rPr>
            </w:pPr>
            <w:r>
              <w:rPr>
                <w:rFonts w:hint="eastAsia" w:ascii="Times New Roman" w:eastAsia="黑体"/>
                <w:color w:val="000000"/>
                <w:sz w:val="24"/>
              </w:rPr>
              <w:t>联系人（电话）</w:t>
            </w:r>
          </w:p>
        </w:tc>
        <w:tc>
          <w:tcPr>
            <w:tcW w:w="2630" w:type="dxa"/>
            <w:vAlign w:val="center"/>
          </w:tcPr>
          <w:p>
            <w:pPr>
              <w:adjustRightInd w:val="0"/>
              <w:snapToGrid w:val="0"/>
              <w:spacing w:line="300" w:lineRule="exact"/>
              <w:rPr>
                <w:rFonts w:ascii="Times New Roman"/>
                <w:color w:val="000000"/>
                <w:sz w:val="24"/>
              </w:rPr>
            </w:pPr>
          </w:p>
        </w:tc>
      </w:tr>
    </w:tbl>
    <w:p>
      <w:pPr>
        <w:spacing w:line="500" w:lineRule="exact"/>
        <w:jc w:val="left"/>
        <w:rPr>
          <w:rFonts w:ascii="Times New Roman" w:eastAsia="黑体"/>
          <w:color w:val="000000"/>
        </w:rPr>
      </w:pPr>
      <w:r>
        <w:rPr>
          <w:rFonts w:ascii="Times New Roman"/>
          <w:color w:val="000000"/>
        </w:rPr>
        <w:br w:type="page"/>
      </w:r>
      <w:r>
        <w:rPr>
          <w:rFonts w:hint="eastAsia" w:ascii="黑体" w:hAnsi="黑体" w:eastAsia="黑体" w:cs="黑体"/>
          <w:color w:val="000000"/>
        </w:rPr>
        <w:t>附件6</w:t>
      </w:r>
    </w:p>
    <w:p>
      <w:pPr>
        <w:overflowPunct w:val="0"/>
        <w:topLinePunct/>
        <w:adjustRightInd w:val="0"/>
        <w:snapToGrid w:val="0"/>
        <w:spacing w:line="660" w:lineRule="exact"/>
        <w:jc w:val="center"/>
        <w:rPr>
          <w:rFonts w:ascii="Times New Roman"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2024民生领</w:t>
      </w:r>
      <w:r>
        <w:rPr>
          <w:rFonts w:hint="eastAsia" w:ascii="Times New Roman" w:eastAsia="方正小标宋简体" w:cs="方正小标宋简体"/>
          <w:color w:val="000000"/>
          <w:sz w:val="44"/>
          <w:szCs w:val="44"/>
        </w:rPr>
        <w:t>域案件查办“铁拳”行动</w:t>
      </w:r>
    </w:p>
    <w:p>
      <w:pPr>
        <w:overflowPunct w:val="0"/>
        <w:topLinePunct/>
        <w:adjustRightInd w:val="0"/>
        <w:snapToGrid w:val="0"/>
        <w:spacing w:line="660" w:lineRule="exact"/>
        <w:jc w:val="center"/>
        <w:rPr>
          <w:rFonts w:ascii="Times New Roman" w:eastAsia="方正小标宋简体" w:cs="方正小标宋简体"/>
          <w:color w:val="000000"/>
          <w:sz w:val="44"/>
          <w:szCs w:val="44"/>
        </w:rPr>
      </w:pPr>
      <w:r>
        <w:rPr>
          <w:rFonts w:hint="eastAsia" w:ascii="Times New Roman" w:eastAsia="方正小标宋简体" w:cs="方正小标宋简体"/>
          <w:color w:val="000000"/>
          <w:sz w:val="44"/>
          <w:szCs w:val="44"/>
        </w:rPr>
        <w:t>重点案件查办情况表</w:t>
      </w:r>
    </w:p>
    <w:p>
      <w:pPr>
        <w:overflowPunct w:val="0"/>
        <w:topLinePunct/>
        <w:spacing w:line="594" w:lineRule="exact"/>
        <w:rPr>
          <w:rFonts w:ascii="Times New Roman"/>
          <w:color w:val="000000"/>
        </w:rPr>
      </w:pPr>
      <w:r>
        <w:rPr>
          <w:rFonts w:hint="eastAsia" w:ascii="Times New Roman"/>
          <w:color w:val="000000"/>
          <w:lang w:val="en-US" w:eastAsia="zh-CN"/>
        </w:rPr>
        <w:t>科室、所</w:t>
      </w:r>
      <w:r>
        <w:rPr>
          <w:rFonts w:ascii="Times New Roman"/>
          <w:color w:val="000000"/>
        </w:rPr>
        <w:t>：</w:t>
      </w:r>
      <w:bookmarkStart w:id="1" w:name="_GoBack"/>
      <w:bookmarkEnd w:id="1"/>
    </w:p>
    <w:p>
      <w:pPr>
        <w:overflowPunct w:val="0"/>
        <w:topLinePunct/>
        <w:spacing w:line="594" w:lineRule="exact"/>
        <w:rPr>
          <w:rFonts w:ascii="Times New Roman"/>
          <w:color w:val="000000"/>
          <w:sz w:val="28"/>
          <w:szCs w:val="28"/>
        </w:rPr>
      </w:pPr>
      <w:r>
        <w:rPr>
          <w:rFonts w:ascii="Times New Roman"/>
          <w:color w:val="000000"/>
          <w:sz w:val="28"/>
          <w:szCs w:val="28"/>
        </w:rPr>
        <w:t>填报周期：</w:t>
      </w:r>
      <w:r>
        <w:rPr>
          <w:rFonts w:hint="eastAsia" w:ascii="Times New Roman"/>
          <w:color w:val="000000"/>
          <w:sz w:val="28"/>
          <w:szCs w:val="28"/>
        </w:rPr>
        <w:sym w:font="Wingdings" w:char="00A8"/>
      </w:r>
      <w:r>
        <w:rPr>
          <w:rFonts w:ascii="Times New Roman"/>
          <w:color w:val="000000"/>
          <w:sz w:val="28"/>
          <w:szCs w:val="28"/>
        </w:rPr>
        <w:t>一季度</w:t>
      </w:r>
      <w:r>
        <w:rPr>
          <w:rFonts w:hint="eastAsia" w:ascii="Times New Roman"/>
          <w:color w:val="000000"/>
          <w:sz w:val="28"/>
          <w:szCs w:val="28"/>
          <w:lang w:val="en-US" w:eastAsia="zh-CN"/>
        </w:rPr>
        <w:t xml:space="preserve">  </w:t>
      </w:r>
      <w:r>
        <w:rPr>
          <w:rFonts w:hint="eastAsia" w:ascii="Times New Roman"/>
          <w:color w:val="000000"/>
          <w:sz w:val="28"/>
          <w:szCs w:val="28"/>
        </w:rPr>
        <w:sym w:font="Wingdings" w:char="00A8"/>
      </w:r>
      <w:r>
        <w:rPr>
          <w:rFonts w:ascii="Times New Roman"/>
          <w:color w:val="000000"/>
          <w:sz w:val="28"/>
          <w:szCs w:val="28"/>
        </w:rPr>
        <w:t xml:space="preserve">上半年  </w:t>
      </w:r>
      <w:r>
        <w:rPr>
          <w:rFonts w:hint="eastAsia" w:ascii="Times New Roman"/>
          <w:color w:val="000000"/>
          <w:sz w:val="28"/>
          <w:szCs w:val="28"/>
        </w:rPr>
        <w:sym w:font="Wingdings" w:char="00A8"/>
      </w:r>
      <w:r>
        <w:rPr>
          <w:rFonts w:ascii="Times New Roman"/>
          <w:color w:val="000000"/>
          <w:sz w:val="28"/>
          <w:szCs w:val="28"/>
        </w:rPr>
        <w:t xml:space="preserve">前三季度  </w:t>
      </w:r>
      <w:r>
        <w:rPr>
          <w:rFonts w:hint="eastAsia" w:ascii="Times New Roman"/>
          <w:color w:val="000000"/>
          <w:sz w:val="28"/>
          <w:szCs w:val="28"/>
        </w:rPr>
        <w:sym w:font="Wingdings" w:char="00A8"/>
      </w:r>
      <w:r>
        <w:rPr>
          <w:rFonts w:ascii="Times New Roman"/>
          <w:color w:val="000000"/>
          <w:sz w:val="28"/>
          <w:szCs w:val="28"/>
        </w:rPr>
        <w:t>全年</w:t>
      </w:r>
    </w:p>
    <w:tbl>
      <w:tblPr>
        <w:tblStyle w:val="8"/>
        <w:tblW w:w="8844" w:type="dxa"/>
        <w:jc w:val="center"/>
        <w:tblLayout w:type="fixed"/>
        <w:tblCellMar>
          <w:top w:w="0" w:type="dxa"/>
          <w:left w:w="108" w:type="dxa"/>
          <w:bottom w:w="0" w:type="dxa"/>
          <w:right w:w="108" w:type="dxa"/>
        </w:tblCellMar>
      </w:tblPr>
      <w:tblGrid>
        <w:gridCol w:w="665"/>
        <w:gridCol w:w="4207"/>
        <w:gridCol w:w="1050"/>
        <w:gridCol w:w="1411"/>
        <w:gridCol w:w="1511"/>
      </w:tblGrid>
      <w:tr>
        <w:tblPrEx>
          <w:tblCellMar>
            <w:top w:w="0" w:type="dxa"/>
            <w:left w:w="108" w:type="dxa"/>
            <w:bottom w:w="0" w:type="dxa"/>
            <w:right w:w="108" w:type="dxa"/>
          </w:tblCellMar>
        </w:tblPrEx>
        <w:trPr>
          <w:trHeight w:val="856" w:hRule="atLeast"/>
          <w:jc w:val="center"/>
        </w:trPr>
        <w:tc>
          <w:tcPr>
            <w:tcW w:w="665" w:type="dxa"/>
            <w:tcBorders>
              <w:top w:val="single" w:color="auto"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eastAsia="黑体"/>
                <w:color w:val="000000"/>
                <w:sz w:val="28"/>
                <w:szCs w:val="28"/>
              </w:rPr>
            </w:pPr>
            <w:r>
              <w:rPr>
                <w:rFonts w:ascii="Times New Roman" w:eastAsia="黑体"/>
                <w:color w:val="000000"/>
                <w:spacing w:val="-11"/>
                <w:kern w:val="0"/>
                <w:sz w:val="24"/>
              </w:rPr>
              <w:t>序号</w:t>
            </w:r>
          </w:p>
        </w:tc>
        <w:tc>
          <w:tcPr>
            <w:tcW w:w="4207" w:type="dxa"/>
            <w:tcBorders>
              <w:top w:val="single" w:color="auto"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eastAsia="黑体"/>
                <w:color w:val="000000"/>
                <w:sz w:val="28"/>
                <w:szCs w:val="28"/>
              </w:rPr>
            </w:pPr>
            <w:r>
              <w:rPr>
                <w:rFonts w:ascii="Times New Roman" w:eastAsia="黑体"/>
                <w:color w:val="000000"/>
                <w:kern w:val="0"/>
                <w:sz w:val="24"/>
              </w:rPr>
              <w:t>案件类型</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eastAsia="黑体"/>
                <w:color w:val="000000"/>
                <w:kern w:val="0"/>
                <w:sz w:val="24"/>
              </w:rPr>
            </w:pPr>
            <w:r>
              <w:rPr>
                <w:rFonts w:ascii="Times New Roman" w:eastAsia="黑体"/>
                <w:color w:val="000000"/>
                <w:kern w:val="0"/>
                <w:sz w:val="24"/>
              </w:rPr>
              <w:t>案件</w:t>
            </w:r>
          </w:p>
          <w:p>
            <w:pPr>
              <w:widowControl/>
              <w:overflowPunct w:val="0"/>
              <w:topLinePunct/>
              <w:spacing w:line="300" w:lineRule="exact"/>
              <w:jc w:val="center"/>
              <w:textAlignment w:val="center"/>
              <w:rPr>
                <w:rFonts w:ascii="Times New Roman" w:eastAsia="黑体"/>
                <w:color w:val="000000"/>
                <w:sz w:val="24"/>
              </w:rPr>
            </w:pPr>
            <w:r>
              <w:rPr>
                <w:rFonts w:ascii="Times New Roman" w:eastAsia="黑体"/>
                <w:color w:val="000000"/>
                <w:kern w:val="0"/>
                <w:sz w:val="24"/>
              </w:rPr>
              <w:t>数量 （件）</w:t>
            </w:r>
          </w:p>
        </w:tc>
        <w:tc>
          <w:tcPr>
            <w:tcW w:w="1411"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eastAsia="黑体"/>
                <w:color w:val="000000"/>
                <w:kern w:val="0"/>
                <w:sz w:val="24"/>
              </w:rPr>
            </w:pPr>
            <w:r>
              <w:rPr>
                <w:rFonts w:ascii="Times New Roman" w:eastAsia="黑体"/>
                <w:color w:val="000000"/>
                <w:kern w:val="0"/>
                <w:sz w:val="24"/>
              </w:rPr>
              <w:t>移送公安</w:t>
            </w:r>
          </w:p>
          <w:p>
            <w:pPr>
              <w:widowControl/>
              <w:overflowPunct w:val="0"/>
              <w:topLinePunct/>
              <w:spacing w:line="300" w:lineRule="exact"/>
              <w:jc w:val="center"/>
              <w:textAlignment w:val="center"/>
              <w:rPr>
                <w:rFonts w:ascii="Times New Roman" w:eastAsia="黑体"/>
                <w:color w:val="000000"/>
                <w:sz w:val="24"/>
              </w:rPr>
            </w:pPr>
            <w:r>
              <w:rPr>
                <w:rFonts w:ascii="Times New Roman" w:eastAsia="黑体"/>
                <w:color w:val="000000"/>
                <w:kern w:val="0"/>
                <w:sz w:val="24"/>
              </w:rPr>
              <w:t>机关数量（件）</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eastAsia="黑体"/>
                <w:color w:val="000000"/>
                <w:sz w:val="24"/>
              </w:rPr>
            </w:pPr>
            <w:r>
              <w:rPr>
                <w:rFonts w:ascii="Times New Roman" w:eastAsia="黑体"/>
                <w:color w:val="000000"/>
                <w:kern w:val="0"/>
                <w:sz w:val="24"/>
              </w:rPr>
              <w:t>有影响力的典型案件</w:t>
            </w: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kern w:val="0"/>
                <w:sz w:val="24"/>
              </w:rPr>
              <w:t>1</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sz w:val="24"/>
              </w:rPr>
            </w:pPr>
            <w:r>
              <w:rPr>
                <w:rFonts w:ascii="Times New Roman"/>
                <w:color w:val="000000"/>
                <w:kern w:val="0"/>
                <w:sz w:val="24"/>
                <w:shd w:val="clear" w:color="auto" w:fill="FFFFFF"/>
              </w:rPr>
              <w:t>燃气灶具</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kern w:val="0"/>
                <w:sz w:val="24"/>
              </w:rPr>
              <w:t>2</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sz w:val="24"/>
              </w:rPr>
            </w:pPr>
            <w:r>
              <w:rPr>
                <w:rFonts w:ascii="Times New Roman"/>
                <w:color w:val="000000"/>
                <w:kern w:val="0"/>
                <w:sz w:val="24"/>
                <w:shd w:val="clear" w:color="auto" w:fill="FFFFFF"/>
              </w:rPr>
              <w:t>电动自行车</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kern w:val="0"/>
                <w:sz w:val="24"/>
              </w:rPr>
              <w:t>3</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sz w:val="24"/>
              </w:rPr>
            </w:pPr>
            <w:r>
              <w:rPr>
                <w:rFonts w:ascii="Times New Roman"/>
                <w:color w:val="000000"/>
                <w:kern w:val="0"/>
                <w:sz w:val="24"/>
                <w:shd w:val="clear" w:color="auto" w:fill="FFFFFF"/>
              </w:rPr>
              <w:t>儿童玩具</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kern w:val="0"/>
                <w:sz w:val="24"/>
              </w:rPr>
              <w:t>4</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sz w:val="24"/>
              </w:rPr>
            </w:pPr>
            <w:r>
              <w:rPr>
                <w:rFonts w:ascii="Times New Roman"/>
                <w:color w:val="000000"/>
                <w:kern w:val="0"/>
                <w:sz w:val="24"/>
                <w:shd w:val="clear" w:color="auto" w:fill="FFFFFF"/>
              </w:rPr>
              <w:t>食品</w:t>
            </w:r>
            <w:r>
              <w:rPr>
                <w:color w:val="000000"/>
                <w:kern w:val="0"/>
                <w:sz w:val="24"/>
                <w:shd w:val="clear" w:color="auto" w:fill="FFFFFF"/>
              </w:rPr>
              <w:t>中非法添加药品及其衍生物</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kern w:val="0"/>
                <w:sz w:val="24"/>
              </w:rPr>
              <w:t>5</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sz w:val="24"/>
              </w:rPr>
            </w:pPr>
            <w:r>
              <w:rPr>
                <w:rFonts w:ascii="Times New Roman"/>
                <w:color w:val="000000"/>
                <w:kern w:val="0"/>
                <w:sz w:val="24"/>
                <w:shd w:val="clear" w:color="auto" w:fill="FFFFFF"/>
              </w:rPr>
              <w:t>违法生产使用小型锅炉</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kern w:val="0"/>
                <w:sz w:val="24"/>
              </w:rPr>
              <w:t>6</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kern w:val="0"/>
                <w:sz w:val="24"/>
                <w:shd w:val="clear" w:color="auto" w:fill="FFFFFF"/>
              </w:rPr>
            </w:pPr>
            <w:r>
              <w:rPr>
                <w:rFonts w:ascii="Times New Roman"/>
                <w:color w:val="000000"/>
                <w:kern w:val="0"/>
                <w:sz w:val="24"/>
                <w:shd w:val="clear" w:color="auto" w:fill="FFFFFF"/>
              </w:rPr>
              <w:t>检验检测</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kern w:val="0"/>
                <w:sz w:val="24"/>
              </w:rPr>
              <w:t>7</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kern w:val="0"/>
                <w:sz w:val="24"/>
                <w:shd w:val="clear" w:color="auto" w:fill="FFFFFF"/>
              </w:rPr>
            </w:pPr>
            <w:r>
              <w:rPr>
                <w:rFonts w:ascii="Times New Roman"/>
                <w:color w:val="000000"/>
                <w:kern w:val="0"/>
                <w:sz w:val="24"/>
                <w:shd w:val="clear" w:color="auto" w:fill="FFFFFF"/>
              </w:rPr>
              <w:t>加油机计量作弊</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kern w:val="0"/>
                <w:sz w:val="24"/>
              </w:rPr>
              <w:t>8</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kern w:val="0"/>
                <w:sz w:val="24"/>
                <w:shd w:val="clear" w:color="auto" w:fill="FFFFFF"/>
              </w:rPr>
            </w:pPr>
            <w:r>
              <w:rPr>
                <w:rFonts w:hint="eastAsia" w:ascii="Times New Roman"/>
                <w:color w:val="000000"/>
                <w:kern w:val="0"/>
                <w:sz w:val="24"/>
                <w:shd w:val="clear" w:color="auto" w:fill="FFFFFF"/>
              </w:rPr>
              <w:t>利用不公平格式条款侵害消费者权益</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sz w:val="24"/>
              </w:rPr>
              <w:t>9</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kern w:val="0"/>
                <w:sz w:val="24"/>
                <w:shd w:val="clear" w:color="auto" w:fill="FFFFFF"/>
              </w:rPr>
            </w:pPr>
            <w:r>
              <w:rPr>
                <w:rFonts w:ascii="Times New Roman"/>
                <w:color w:val="000000"/>
                <w:kern w:val="0"/>
                <w:sz w:val="24"/>
                <w:shd w:val="clear" w:color="auto" w:fill="FFFFFF"/>
              </w:rPr>
              <w:t>商标侵权、伪造或冒用地理标志</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sz w:val="24"/>
              </w:rPr>
              <w:t>10</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kern w:val="0"/>
                <w:sz w:val="24"/>
                <w:shd w:val="clear" w:color="auto" w:fill="FFFFFF"/>
              </w:rPr>
            </w:pPr>
            <w:r>
              <w:rPr>
                <w:rFonts w:ascii="Times New Roman"/>
                <w:color w:val="000000"/>
                <w:kern w:val="0"/>
                <w:sz w:val="24"/>
                <w:shd w:val="clear" w:color="auto" w:fill="FFFFFF"/>
              </w:rPr>
              <w:t>价格欺诈</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rFonts w:ascii="Times New Roman"/>
                <w:color w:val="000000"/>
                <w:sz w:val="24"/>
              </w:rPr>
            </w:pPr>
            <w:r>
              <w:rPr>
                <w:rFonts w:ascii="Times New Roman"/>
                <w:color w:val="000000"/>
                <w:sz w:val="24"/>
              </w:rPr>
              <w:t>11</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rFonts w:ascii="Times New Roman"/>
                <w:color w:val="000000"/>
                <w:kern w:val="0"/>
                <w:sz w:val="24"/>
                <w:shd w:val="clear" w:color="auto" w:fill="FFFFFF"/>
              </w:rPr>
            </w:pPr>
            <w:r>
              <w:rPr>
                <w:rFonts w:ascii="Times New Roman"/>
                <w:color w:val="000000"/>
                <w:kern w:val="0"/>
                <w:sz w:val="24"/>
                <w:shd w:val="clear" w:color="auto" w:fill="FFFFFF"/>
              </w:rPr>
              <w:t>虚假违法广告</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color w:val="000000"/>
                <w:kern w:val="0"/>
                <w:sz w:val="24"/>
                <w:shd w:val="clear" w:color="auto" w:fill="FFFFFF"/>
              </w:rPr>
            </w:pPr>
            <w:r>
              <w:rPr>
                <w:rFonts w:hint="eastAsia"/>
                <w:color w:val="000000"/>
                <w:kern w:val="0"/>
                <w:sz w:val="24"/>
                <w:shd w:val="clear" w:color="auto" w:fill="FFFFFF"/>
              </w:rPr>
              <w:t>12</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color w:val="000000"/>
                <w:kern w:val="0"/>
                <w:sz w:val="24"/>
                <w:shd w:val="clear" w:color="auto" w:fill="FFFFFF"/>
              </w:rPr>
            </w:pPr>
            <w:r>
              <w:rPr>
                <w:rFonts w:hint="eastAsia"/>
                <w:color w:val="000000"/>
                <w:kern w:val="0"/>
                <w:sz w:val="24"/>
                <w:shd w:val="clear" w:color="auto" w:fill="FFFFFF"/>
              </w:rPr>
              <w:t>生产销售伪劣建材</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color w:val="000000"/>
                <w:kern w:val="0"/>
                <w:sz w:val="24"/>
                <w:shd w:val="clear" w:color="auto" w:fill="FFFFFF"/>
              </w:rPr>
            </w:pPr>
            <w:r>
              <w:rPr>
                <w:rFonts w:hint="eastAsia"/>
                <w:color w:val="000000"/>
                <w:kern w:val="0"/>
                <w:sz w:val="24"/>
                <w:shd w:val="clear" w:color="auto" w:fill="FFFFFF"/>
              </w:rPr>
              <w:t>13</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color w:val="000000"/>
                <w:kern w:val="0"/>
                <w:sz w:val="24"/>
                <w:shd w:val="clear" w:color="auto" w:fill="FFFFFF"/>
              </w:rPr>
            </w:pPr>
            <w:r>
              <w:rPr>
                <w:rFonts w:hint="eastAsia" w:ascii="Times New Roman"/>
                <w:color w:val="000000"/>
                <w:kern w:val="0"/>
                <w:sz w:val="24"/>
                <w:shd w:val="clear" w:color="auto" w:fill="FFFFFF"/>
              </w:rPr>
              <w:t>肉及肉制品掺假掺杂</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jc w:val="center"/>
              <w:textAlignment w:val="center"/>
              <w:rPr>
                <w:color w:val="000000"/>
                <w:kern w:val="0"/>
                <w:sz w:val="24"/>
                <w:shd w:val="clear" w:color="auto" w:fill="FFFFFF"/>
              </w:rPr>
            </w:pPr>
            <w:r>
              <w:rPr>
                <w:rFonts w:hint="eastAsia"/>
                <w:color w:val="000000"/>
                <w:kern w:val="0"/>
                <w:sz w:val="24"/>
                <w:shd w:val="clear" w:color="auto" w:fill="FFFFFF"/>
              </w:rPr>
              <w:t>14</w:t>
            </w:r>
          </w:p>
        </w:tc>
        <w:tc>
          <w:tcPr>
            <w:tcW w:w="4207" w:type="dxa"/>
            <w:tcBorders>
              <w:top w:val="single" w:color="000000" w:sz="4" w:space="0"/>
              <w:left w:val="single" w:color="000000" w:sz="4" w:space="0"/>
              <w:bottom w:val="single" w:color="000000" w:sz="4" w:space="0"/>
              <w:right w:val="single" w:color="000000" w:sz="4" w:space="0"/>
            </w:tcBorders>
            <w:vAlign w:val="center"/>
          </w:tcPr>
          <w:p>
            <w:pPr>
              <w:widowControl/>
              <w:overflowPunct w:val="0"/>
              <w:topLinePunct/>
              <w:spacing w:line="300" w:lineRule="exact"/>
              <w:textAlignment w:val="center"/>
              <w:rPr>
                <w:color w:val="000000"/>
                <w:kern w:val="0"/>
                <w:sz w:val="24"/>
                <w:shd w:val="clear" w:color="auto" w:fill="FFFFFF"/>
              </w:rPr>
            </w:pPr>
            <w:r>
              <w:rPr>
                <w:rFonts w:hint="eastAsia"/>
                <w:color w:val="000000"/>
                <w:kern w:val="0"/>
                <w:sz w:val="24"/>
                <w:shd w:val="clear" w:color="auto" w:fill="FFFFFF"/>
              </w:rPr>
              <w:t>气瓶违法充装</w:t>
            </w:r>
          </w:p>
        </w:tc>
        <w:tc>
          <w:tcPr>
            <w:tcW w:w="1050"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overflowPunct w:val="0"/>
              <w:topLinePunct/>
              <w:spacing w:line="300" w:lineRule="exact"/>
              <w:jc w:val="center"/>
              <w:rPr>
                <w:rFonts w:ascii="Times New Roman"/>
                <w:color w:val="000000"/>
                <w:sz w:val="24"/>
              </w:rPr>
            </w:pPr>
          </w:p>
        </w:tc>
      </w:tr>
      <w:tr>
        <w:tblPrEx>
          <w:tblCellMar>
            <w:top w:w="0" w:type="dxa"/>
            <w:left w:w="108" w:type="dxa"/>
            <w:bottom w:w="0" w:type="dxa"/>
            <w:right w:w="108" w:type="dxa"/>
          </w:tblCellMar>
        </w:tblPrEx>
        <w:trPr>
          <w:trHeight w:val="510" w:hRule="exact"/>
          <w:jc w:val="center"/>
        </w:trPr>
        <w:tc>
          <w:tcPr>
            <w:tcW w:w="48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黑体"/>
                <w:color w:val="000000"/>
                <w:sz w:val="28"/>
                <w:szCs w:val="28"/>
              </w:rPr>
            </w:pPr>
            <w:r>
              <w:rPr>
                <w:rFonts w:ascii="Times New Roman" w:eastAsia="黑体"/>
                <w:color w:val="000000"/>
                <w:kern w:val="0"/>
                <w:sz w:val="24"/>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color w:val="000000"/>
                <w:sz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color w:val="000000"/>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color w:val="000000"/>
                <w:sz w:val="24"/>
              </w:rPr>
            </w:pPr>
          </w:p>
        </w:tc>
      </w:tr>
    </w:tbl>
    <w:p>
      <w:pPr>
        <w:pStyle w:val="2"/>
        <w:spacing w:beforeLines="50" w:line="400" w:lineRule="exact"/>
        <w:rPr>
          <w:rFonts w:ascii="Times New Roman"/>
          <w:color w:val="000000"/>
          <w:sz w:val="28"/>
          <w:szCs w:val="28"/>
        </w:rPr>
      </w:pPr>
      <w:r>
        <w:rPr>
          <w:rFonts w:hint="eastAsia" w:ascii="Times New Roman"/>
          <w:color w:val="000000"/>
          <w:sz w:val="28"/>
          <w:szCs w:val="28"/>
        </w:rPr>
        <w:t>说明：“有影响力的典型案件”请按照格式：××（</w:t>
      </w:r>
      <w:r>
        <w:rPr>
          <w:rFonts w:hint="eastAsia" w:ascii="Times New Roman"/>
          <w:color w:val="000000"/>
          <w:sz w:val="28"/>
          <w:szCs w:val="28"/>
          <w:lang w:val="en-US" w:eastAsia="zh-CN"/>
        </w:rPr>
        <w:t>科室、所</w:t>
      </w:r>
      <w:r>
        <w:rPr>
          <w:rFonts w:hint="eastAsia" w:ascii="Times New Roman"/>
          <w:color w:val="000000"/>
          <w:sz w:val="28"/>
          <w:szCs w:val="28"/>
        </w:rPr>
        <w:t>）查处××</w:t>
      </w:r>
    </w:p>
    <w:p>
      <w:pPr>
        <w:pStyle w:val="2"/>
        <w:spacing w:line="400" w:lineRule="exact"/>
        <w:ind w:left="704" w:leftChars="220" w:firstLine="280" w:firstLineChars="100"/>
      </w:pPr>
      <w:r>
        <w:rPr>
          <w:rFonts w:hint="eastAsia" w:ascii="Times New Roman"/>
          <w:color w:val="000000"/>
          <w:sz w:val="28"/>
          <w:szCs w:val="28"/>
        </w:rPr>
        <w:t>（当事人）××（案由）案，填写案件名称。</w:t>
      </w:r>
    </w:p>
    <w:sectPr>
      <w:headerReference r:id="rId4" w:type="default"/>
      <w:footerReference r:id="rId5" w:type="default"/>
      <w:pgSz w:w="11906" w:h="16838"/>
      <w:pgMar w:top="2098" w:right="1531" w:bottom="1984" w:left="1531"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00384B8-AF65-450F-BB9C-C1136980C64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32BC5B1-86A8-4F8E-B1DB-A472951DC7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792ACF1-0DAD-4887-BC2C-52306FD48B6F}"/>
  </w:font>
  <w:font w:name="仿宋_GB2312">
    <w:panose1 w:val="02010609030101010101"/>
    <w:charset w:val="86"/>
    <w:family w:val="modern"/>
    <w:pitch w:val="default"/>
    <w:sig w:usb0="00000001" w:usb1="080E0000" w:usb2="00000000" w:usb3="00000000" w:csb0="00040000" w:csb1="00000000"/>
    <w:embedRegular r:id="rId4" w:fontKey="{6258EC6F-E8A5-49FB-BE5A-7CB53124FB12}"/>
  </w:font>
  <w:font w:name="仿宋">
    <w:panose1 w:val="02010609060101010101"/>
    <w:charset w:val="86"/>
    <w:family w:val="modern"/>
    <w:pitch w:val="default"/>
    <w:sig w:usb0="800002BF" w:usb1="38CF7CFA" w:usb2="00000016" w:usb3="00000000" w:csb0="00040001" w:csb1="00000000"/>
    <w:embedRegular r:id="rId5" w:fontKey="{D0225240-4C51-4122-B0AD-77E750BC904E}"/>
  </w:font>
  <w:font w:name="新宋体">
    <w:panose1 w:val="02010609030101010101"/>
    <w:charset w:val="86"/>
    <w:family w:val="modern"/>
    <w:pitch w:val="default"/>
    <w:sig w:usb0="00000283" w:usb1="288F0000" w:usb2="00000006" w:usb3="00000000" w:csb0="00040001" w:csb1="00000000"/>
    <w:embedRegular r:id="rId6" w:fontKey="{3A06215B-1F05-4A9C-B5AD-AB138105D656}"/>
  </w:font>
  <w:font w:name="方正小标宋简体">
    <w:panose1 w:val="02000000000000000000"/>
    <w:charset w:val="86"/>
    <w:family w:val="auto"/>
    <w:pitch w:val="default"/>
    <w:sig w:usb0="00000001" w:usb1="080E0000" w:usb2="00000000" w:usb3="00000000" w:csb0="00040000" w:csb1="00000000"/>
    <w:embedRegular r:id="rId7" w:fontKey="{5A6C6E84-4AC4-43D6-9E86-7E9785D4D07F}"/>
  </w:font>
  <w:font w:name="楷体">
    <w:panose1 w:val="02010609060101010101"/>
    <w:charset w:val="86"/>
    <w:family w:val="modern"/>
    <w:pitch w:val="default"/>
    <w:sig w:usb0="800002BF" w:usb1="38CF7CFA" w:usb2="00000016" w:usb3="00000000" w:csb0="00040001" w:csb1="00000000"/>
    <w:embedRegular r:id="rId8" w:fontKey="{C3D45B81-E185-4AF6-AE0D-C74289DAB6A5}"/>
  </w:font>
  <w:font w:name="楷体_GB2312">
    <w:panose1 w:val="02010609030101010101"/>
    <w:charset w:val="86"/>
    <w:family w:val="modern"/>
    <w:pitch w:val="default"/>
    <w:sig w:usb0="00000001" w:usb1="080E0000" w:usb2="00000000" w:usb3="00000000" w:csb0="00040000" w:csb1="00000000"/>
    <w:embedRegular r:id="rId9" w:fontKey="{D2F606B2-E05C-4680-9F94-A2EA8D13EA07}"/>
  </w:font>
  <w:font w:name="CESI仿宋-GB2312">
    <w:altName w:val="仿宋"/>
    <w:panose1 w:val="02000500000000000000"/>
    <w:charset w:val="86"/>
    <w:family w:val="auto"/>
    <w:pitch w:val="default"/>
    <w:sig w:usb0="00000000" w:usb1="00000000" w:usb2="00000010" w:usb3="00000000" w:csb0="0004000F" w:csb1="00000000"/>
    <w:embedRegular r:id="rId10" w:fontKey="{19F43A86-1679-40A1-A5E8-B0FE76E181D3}"/>
  </w:font>
  <w:font w:name="MS Gothic">
    <w:panose1 w:val="020B0609070205080204"/>
    <w:charset w:val="80"/>
    <w:family w:val="modern"/>
    <w:pitch w:val="default"/>
    <w:sig w:usb0="E00002FF" w:usb1="6AC7FDFB" w:usb2="08000012" w:usb3="00000000" w:csb0="4002009F" w:csb1="DFD70000"/>
    <w:embedRegular r:id="rId11" w:fontKey="{959E888B-C8BD-477C-8199-1D75541E9E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95B71"/>
    <w:multiLevelType w:val="singleLevel"/>
    <w:tmpl w:val="89D95B71"/>
    <w:lvl w:ilvl="0" w:tentative="0">
      <w:start w:val="8"/>
      <w:numFmt w:val="chineseCounting"/>
      <w:suff w:val="nothing"/>
      <w:lvlText w:val="%1、"/>
      <w:lvlJc w:val="left"/>
      <w:rPr>
        <w:rFonts w:hint="eastAsia"/>
      </w:rPr>
    </w:lvl>
  </w:abstractNum>
  <w:abstractNum w:abstractNumId="1">
    <w:nsid w:val="D74BDE27"/>
    <w:multiLevelType w:val="singleLevel"/>
    <w:tmpl w:val="D74BDE2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wMTVmMGZlZTYxMGY3MTBmNjAyMWUxMTAxMDJmNTYifQ=="/>
  </w:docVars>
  <w:rsids>
    <w:rsidRoot w:val="00823C92"/>
    <w:rsid w:val="000E3754"/>
    <w:rsid w:val="001D0664"/>
    <w:rsid w:val="00207C95"/>
    <w:rsid w:val="0027799D"/>
    <w:rsid w:val="00337C4D"/>
    <w:rsid w:val="003D3FFE"/>
    <w:rsid w:val="004B7D5C"/>
    <w:rsid w:val="00551A4E"/>
    <w:rsid w:val="0058367E"/>
    <w:rsid w:val="005E4EC9"/>
    <w:rsid w:val="007B5E9F"/>
    <w:rsid w:val="00823C92"/>
    <w:rsid w:val="00833F7A"/>
    <w:rsid w:val="00961F8D"/>
    <w:rsid w:val="00964AD8"/>
    <w:rsid w:val="00A239F1"/>
    <w:rsid w:val="00A33511"/>
    <w:rsid w:val="00C11BB6"/>
    <w:rsid w:val="00C93D52"/>
    <w:rsid w:val="00ED4DD8"/>
    <w:rsid w:val="00F72DC8"/>
    <w:rsid w:val="00FA21D8"/>
    <w:rsid w:val="05326D64"/>
    <w:rsid w:val="09E162A4"/>
    <w:rsid w:val="0FB12275"/>
    <w:rsid w:val="15C44782"/>
    <w:rsid w:val="1A613D6C"/>
    <w:rsid w:val="1D4DED5F"/>
    <w:rsid w:val="3DBC90EE"/>
    <w:rsid w:val="3DBF1EE8"/>
    <w:rsid w:val="42744FC5"/>
    <w:rsid w:val="443959C2"/>
    <w:rsid w:val="4F7A10A8"/>
    <w:rsid w:val="509F5FF0"/>
    <w:rsid w:val="53682217"/>
    <w:rsid w:val="572A6238"/>
    <w:rsid w:val="5AFA6BA0"/>
    <w:rsid w:val="5FEF13C6"/>
    <w:rsid w:val="626002D8"/>
    <w:rsid w:val="633400DA"/>
    <w:rsid w:val="67FF6EFA"/>
    <w:rsid w:val="68AC05A2"/>
    <w:rsid w:val="6E7508F0"/>
    <w:rsid w:val="6FFF8D90"/>
    <w:rsid w:val="7DBE0CDB"/>
    <w:rsid w:val="7EF75610"/>
    <w:rsid w:val="B3556621"/>
    <w:rsid w:val="B8F9A0D9"/>
    <w:rsid w:val="BDFED52A"/>
    <w:rsid w:val="BFFD9799"/>
    <w:rsid w:val="E7D631AD"/>
    <w:rsid w:val="EBA77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样式1"/>
    <w:basedOn w:val="1"/>
    <w:autoRedefine/>
    <w:qFormat/>
    <w:uiPriority w:val="0"/>
    <w:pPr>
      <w:ind w:firstLine="602" w:firstLineChars="200"/>
    </w:pPr>
    <w:rPr>
      <w:rFonts w:ascii="仿宋" w:hAnsi="仿宋" w:eastAsia="仿宋" w:cs="Times New Roman"/>
      <w:sz w:val="30"/>
      <w:szCs w:val="30"/>
    </w:rPr>
  </w:style>
  <w:style w:type="paragraph" w:customStyle="1" w:styleId="11">
    <w:name w:val="正文首行缩进1"/>
    <w:basedOn w:val="2"/>
    <w:autoRedefine/>
    <w:qFormat/>
    <w:uiPriority w:val="0"/>
    <w:pPr>
      <w:ind w:firstLine="420" w:firstLineChars="1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34"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2194</Words>
  <Characters>12508</Characters>
  <Lines>104</Lines>
  <Paragraphs>29</Paragraphs>
  <TotalTime>9</TotalTime>
  <ScaleCrop>false</ScaleCrop>
  <LinksUpToDate>false</LinksUpToDate>
  <CharactersWithSpaces>14673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lenovo</dc:creator>
  <cp:lastModifiedBy>山石岩</cp:lastModifiedBy>
  <cp:lastPrinted>2024-03-08T02:15:00Z</cp:lastPrinted>
  <dcterms:modified xsi:type="dcterms:W3CDTF">2024-03-11T01:21:41Z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538FB0F9A05F4C209989950BA5AEFDEA_12</vt:lpwstr>
  </property>
</Properties>
</file>